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1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中小学人工智能教育教学成果大赛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评分标准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after="0"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6"/>
        </w:rPr>
      </w:pPr>
      <w:r>
        <w:rPr>
          <w:rFonts w:hint="eastAsia" w:ascii="Times New Roman" w:hAnsi="Times New Roman" w:eastAsia="黑体" w:cs="Times New Roman"/>
          <w:sz w:val="32"/>
          <w:szCs w:val="36"/>
        </w:rPr>
        <w:t>一、</w:t>
      </w:r>
      <w:r>
        <w:rPr>
          <w:rFonts w:ascii="Times New Roman" w:hAnsi="Times New Roman" w:eastAsia="黑体" w:cs="Times New Roman"/>
          <w:sz w:val="32"/>
          <w:szCs w:val="36"/>
        </w:rPr>
        <w:t>教学设计（20分）</w:t>
      </w:r>
    </w:p>
    <w:p>
      <w:pPr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本维度评估课程设计的系统性和学段适应性，需体现新课标素养导向，符合人工智能教育的阶段性目标要求。</w:t>
      </w:r>
    </w:p>
    <w:tbl>
      <w:tblPr>
        <w:tblStyle w:val="3"/>
        <w:tblW w:w="8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6"/>
        <w:gridCol w:w="864"/>
        <w:gridCol w:w="5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60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核心指标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分值</w:t>
            </w:r>
          </w:p>
        </w:tc>
        <w:tc>
          <w:tcPr>
            <w:tcW w:w="587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目标衔接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8分</w:t>
            </w:r>
          </w:p>
        </w:tc>
        <w:tc>
          <w:tcPr>
            <w:tcW w:w="587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符合《指南》学段目标：</w:t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•小学：体验式课程设计，聚焦兴趣培养与伦理启蒙</w:t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•初中：认知类课程设计，强调技术原理理解与生成式工具应用</w:t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•高中：实践性课程设计，注重算法理解与系统开发能力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内容规划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7分</w:t>
            </w:r>
          </w:p>
        </w:tc>
        <w:tc>
          <w:tcPr>
            <w:tcW w:w="587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•涵盖四大模块：基本概念、应用技术、实现方法、伦理社会（合规、价值对齐）</w:t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•课时分配合理（独立设置或跨学科融合）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评价设计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5分</w:t>
            </w:r>
          </w:p>
        </w:tc>
        <w:tc>
          <w:tcPr>
            <w:tcW w:w="587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•采用多元评价方式（作品展示/项目汇报/主题辩论）</w:t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•建立电子学习档案，记录能力发展轨迹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6"/>
        </w:rPr>
        <w:t>二、</w:t>
      </w:r>
      <w:r>
        <w:rPr>
          <w:rFonts w:ascii="Times New Roman" w:hAnsi="Times New Roman" w:eastAsia="黑体" w:cs="Times New Roman"/>
          <w:sz w:val="32"/>
          <w:szCs w:val="36"/>
        </w:rPr>
        <w:t>教学内容（20分）</w:t>
      </w:r>
    </w:p>
    <w:p>
      <w:pPr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本维度关注内容的科学性与应用性，需确保技术原理的准确性，同时结合真实应用场景。</w:t>
      </w:r>
    </w:p>
    <w:tbl>
      <w:tblPr>
        <w:tblStyle w:val="3"/>
        <w:tblW w:w="83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1"/>
        <w:gridCol w:w="894"/>
        <w:gridCol w:w="5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59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核心指标</w:t>
            </w:r>
          </w:p>
        </w:tc>
        <w:tc>
          <w:tcPr>
            <w:tcW w:w="89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分值</w:t>
            </w:r>
          </w:p>
        </w:tc>
        <w:tc>
          <w:tcPr>
            <w:tcW w:w="585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科学性与前沿性</w:t>
            </w:r>
          </w:p>
        </w:tc>
        <w:tc>
          <w:tcPr>
            <w:tcW w:w="89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10分</w:t>
            </w:r>
          </w:p>
        </w:tc>
        <w:tc>
          <w:tcPr>
            <w:tcW w:w="585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•技术原理表述准确（如机器学习、深度学习基础）</w:t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•案例选用体现产业实践（如数据标注、模型训练场景）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伦理安全融合</w:t>
            </w:r>
          </w:p>
        </w:tc>
        <w:tc>
          <w:tcPr>
            <w:tcW w:w="89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6分</w:t>
            </w:r>
          </w:p>
        </w:tc>
        <w:tc>
          <w:tcPr>
            <w:tcW w:w="585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•明确标注生成式AI使用规范（引用格式、使用比例）</w:t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•设计隐私保护实践（禁止输入敏感信息）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跨学科</w:t>
            </w:r>
          </w:p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融合</w:t>
            </w:r>
          </w:p>
        </w:tc>
        <w:tc>
          <w:tcPr>
            <w:tcW w:w="89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4分</w:t>
            </w:r>
          </w:p>
        </w:tc>
        <w:tc>
          <w:tcPr>
            <w:tcW w:w="585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•与信息科技、科学、劳动等课程有机衔接</w:t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•引导学生建立系统性认知网络</w:t>
            </w:r>
          </w:p>
        </w:tc>
      </w:tr>
    </w:tbl>
    <w:p>
      <w:pPr>
        <w:spacing w:after="0"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6"/>
        </w:rPr>
      </w:pPr>
      <w:r>
        <w:rPr>
          <w:rFonts w:hint="eastAsia" w:ascii="Times New Roman" w:hAnsi="Times New Roman" w:eastAsia="黑体" w:cs="Times New Roman"/>
          <w:sz w:val="32"/>
          <w:szCs w:val="36"/>
        </w:rPr>
        <w:t>三、</w:t>
      </w:r>
      <w:r>
        <w:rPr>
          <w:rFonts w:ascii="Times New Roman" w:hAnsi="Times New Roman" w:eastAsia="黑体" w:cs="Times New Roman"/>
          <w:sz w:val="32"/>
          <w:szCs w:val="36"/>
        </w:rPr>
        <w:t>教学方法（20分）</w:t>
      </w:r>
    </w:p>
    <w:p>
      <w:pPr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本维度评估教学策略的有效性和生成式AI应用的合理性，需体现以学生为中心的理念。</w:t>
      </w:r>
    </w:p>
    <w:tbl>
      <w:tblPr>
        <w:tblStyle w:val="3"/>
        <w:tblW w:w="83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0"/>
        <w:gridCol w:w="895"/>
        <w:gridCol w:w="5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59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核心指标</w:t>
            </w:r>
          </w:p>
        </w:tc>
        <w:tc>
          <w:tcPr>
            <w:tcW w:w="89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分值</w:t>
            </w:r>
          </w:p>
        </w:tc>
        <w:tc>
          <w:tcPr>
            <w:tcW w:w="584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教学模式创新</w:t>
            </w:r>
          </w:p>
        </w:tc>
        <w:tc>
          <w:tcPr>
            <w:tcW w:w="89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12分</w:t>
            </w:r>
          </w:p>
        </w:tc>
        <w:tc>
          <w:tcPr>
            <w:tcW w:w="584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•采用项目式/跨学科/情境化教学（如智能系统开发实践）</w:t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•设计差异化任务（依据学段选择工具：小学用图形化工具，高中用代码工具）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生成式AI应用</w:t>
            </w:r>
          </w:p>
        </w:tc>
        <w:tc>
          <w:tcPr>
            <w:tcW w:w="89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8分</w:t>
            </w:r>
          </w:p>
        </w:tc>
        <w:tc>
          <w:tcPr>
            <w:tcW w:w="584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•合理使用AI辅助教学（如备课支持、个性化答疑）</w:t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•设置“禁用场景”（如创造性任务禁用代劳）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6"/>
        </w:rPr>
      </w:pPr>
      <w:r>
        <w:rPr>
          <w:rFonts w:hint="eastAsia" w:ascii="Times New Roman" w:hAnsi="Times New Roman" w:eastAsia="黑体" w:cs="Times New Roman"/>
          <w:sz w:val="32"/>
          <w:szCs w:val="36"/>
        </w:rPr>
        <w:t>四、</w:t>
      </w:r>
      <w:r>
        <w:rPr>
          <w:rFonts w:ascii="Times New Roman" w:hAnsi="Times New Roman" w:eastAsia="黑体" w:cs="Times New Roman"/>
          <w:sz w:val="32"/>
          <w:szCs w:val="36"/>
        </w:rPr>
        <w:t>技术应用（15分）</w:t>
      </w:r>
    </w:p>
    <w:p>
      <w:pPr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本维度关注工具创新与融合深度，强调技术服务于教学目标。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5"/>
        <w:gridCol w:w="880"/>
        <w:gridCol w:w="5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核心指标</w:t>
            </w:r>
          </w:p>
        </w:tc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分值</w:t>
            </w:r>
          </w:p>
        </w:tc>
        <w:tc>
          <w:tcPr>
            <w:tcW w:w="581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教学工具适配</w:t>
            </w:r>
          </w:p>
        </w:tc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9分</w:t>
            </w:r>
          </w:p>
        </w:tc>
        <w:tc>
          <w:tcPr>
            <w:tcW w:w="581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•选用AI应用合规工具</w:t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•开发适配性资源（如算法可视化组件、伦理风险模拟程序）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技术赋能实效</w:t>
            </w:r>
          </w:p>
        </w:tc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6分</w:t>
            </w:r>
          </w:p>
        </w:tc>
        <w:tc>
          <w:tcPr>
            <w:tcW w:w="581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•利用智能分析工具记录学习轨迹</w:t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•应用AI评测优化教学反馈</w:t>
            </w:r>
          </w:p>
        </w:tc>
      </w:tr>
    </w:tbl>
    <w:p>
      <w:pPr>
        <w:spacing w:after="0"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6"/>
        </w:rPr>
      </w:pPr>
      <w:r>
        <w:rPr>
          <w:rFonts w:hint="eastAsia" w:ascii="Times New Roman" w:hAnsi="Times New Roman" w:eastAsia="黑体" w:cs="Times New Roman"/>
          <w:sz w:val="32"/>
          <w:szCs w:val="36"/>
        </w:rPr>
        <w:t>五、</w:t>
      </w:r>
      <w:r>
        <w:rPr>
          <w:rFonts w:ascii="Times New Roman" w:hAnsi="Times New Roman" w:eastAsia="黑体" w:cs="Times New Roman"/>
          <w:sz w:val="32"/>
          <w:szCs w:val="36"/>
        </w:rPr>
        <w:t>教学过程评价（15分）</w:t>
      </w:r>
    </w:p>
    <w:p>
      <w:pPr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本维度聚焦学生参与情况及教学实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效</w:t>
      </w:r>
      <w:r>
        <w:rPr>
          <w:rFonts w:ascii="Times New Roman" w:hAnsi="Times New Roman" w:eastAsia="仿宋_GB2312" w:cs="Times New Roman"/>
          <w:sz w:val="32"/>
          <w:szCs w:val="32"/>
        </w:rPr>
        <w:t>，需体现素养发展可测量性。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5"/>
        <w:gridCol w:w="930"/>
        <w:gridCol w:w="5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核心指标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分值</w:t>
            </w:r>
          </w:p>
        </w:tc>
        <w:tc>
          <w:tcPr>
            <w:tcW w:w="581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学生</w:t>
            </w:r>
          </w:p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主体性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8分</w:t>
            </w:r>
          </w:p>
        </w:tc>
        <w:tc>
          <w:tcPr>
            <w:tcW w:w="581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•课堂互动质量（人机协同/小组协作效率）</w:t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•批判性思维培养（如分析生成内容的文化偏差）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成果可量化性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7分</w:t>
            </w:r>
          </w:p>
        </w:tc>
        <w:tc>
          <w:tcPr>
            <w:tcW w:w="581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•学习成果产出（作品/解决方案/反思报告）</w:t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•素养发展证据（应用能力→创新思维→伦理意识的进阶记录）</w:t>
            </w:r>
          </w:p>
        </w:tc>
      </w:tr>
    </w:tbl>
    <w:p>
      <w:pPr>
        <w:spacing w:after="0"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6"/>
        </w:rPr>
      </w:pPr>
      <w:r>
        <w:rPr>
          <w:rFonts w:hint="eastAsia" w:ascii="Times New Roman" w:hAnsi="Times New Roman" w:eastAsia="黑体" w:cs="Times New Roman"/>
          <w:sz w:val="32"/>
          <w:szCs w:val="36"/>
        </w:rPr>
        <w:t>六、</w:t>
      </w:r>
      <w:r>
        <w:rPr>
          <w:rFonts w:ascii="Times New Roman" w:hAnsi="Times New Roman" w:eastAsia="黑体" w:cs="Times New Roman"/>
          <w:sz w:val="32"/>
          <w:szCs w:val="36"/>
        </w:rPr>
        <w:t>教学</w:t>
      </w:r>
      <w:r>
        <w:rPr>
          <w:rFonts w:hint="eastAsia" w:ascii="Times New Roman" w:hAnsi="Times New Roman" w:eastAsia="黑体" w:cs="Times New Roman"/>
          <w:sz w:val="32"/>
          <w:szCs w:val="36"/>
        </w:rPr>
        <w:t>创新</w:t>
      </w:r>
      <w:r>
        <w:rPr>
          <w:rFonts w:ascii="Times New Roman" w:hAnsi="Times New Roman" w:eastAsia="黑体" w:cs="Times New Roman"/>
          <w:sz w:val="32"/>
          <w:szCs w:val="36"/>
        </w:rPr>
        <w:t>（1</w:t>
      </w:r>
      <w:r>
        <w:rPr>
          <w:rFonts w:hint="eastAsia" w:ascii="Times New Roman" w:hAnsi="Times New Roman" w:eastAsia="黑体" w:cs="Times New Roman"/>
          <w:sz w:val="32"/>
          <w:szCs w:val="36"/>
        </w:rPr>
        <w:t>0</w:t>
      </w:r>
      <w:r>
        <w:rPr>
          <w:rFonts w:ascii="Times New Roman" w:hAnsi="Times New Roman" w:eastAsia="黑体" w:cs="Times New Roman"/>
          <w:sz w:val="32"/>
          <w:szCs w:val="36"/>
        </w:rPr>
        <w:t>分）</w:t>
      </w:r>
    </w:p>
    <w:p>
      <w:pPr>
        <w:spacing w:after="0" w:line="600" w:lineRule="exact"/>
        <w:ind w:firstLine="640" w:firstLineChars="200"/>
        <w:jc w:val="both"/>
        <w:rPr>
          <w:rFonts w:ascii="仿宋_GB2312" w:hAnsi="Times New Roman" w:eastAsia="仿宋_GB2312" w:cs="Times New Roman"/>
          <w:sz w:val="32"/>
          <w:szCs w:val="36"/>
        </w:rPr>
      </w:pPr>
      <w:r>
        <w:rPr>
          <w:rFonts w:hint="eastAsia" w:ascii="仿宋_GB2312" w:hAnsi="Times New Roman" w:eastAsia="仿宋_GB2312" w:cs="Times New Roman"/>
          <w:sz w:val="32"/>
          <w:szCs w:val="36"/>
        </w:rPr>
        <w:t>本维度聚焦教学成果的创新程度与实际应用价值，需体现成果在教学实践中的独创性、可推广性。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4"/>
        <w:gridCol w:w="901"/>
        <w:gridCol w:w="5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58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bookmarkStart w:id="0" w:name="_Hlk207266796"/>
            <w:r>
              <w:rPr>
                <w:rStyle w:val="5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核心指标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分值</w:t>
            </w:r>
          </w:p>
        </w:tc>
        <w:tc>
          <w:tcPr>
            <w:tcW w:w="581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8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创新维度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6分</w:t>
            </w:r>
          </w:p>
        </w:tc>
        <w:tc>
          <w:tcPr>
            <w:tcW w:w="581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•原创性：开发新教学模型（如“教联体”校企协作案例）</w:t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•突破性：解决痛点问题（如降低算法理解门槛）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8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推广价值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4分</w:t>
            </w:r>
          </w:p>
        </w:tc>
        <w:tc>
          <w:tcPr>
            <w:tcW w:w="581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pacing w:after="0" w:line="600" w:lineRule="exact"/>
              <w:rPr>
                <w:rFonts w:ascii="Times New Roman" w:hAnsi="Times New Roman" w:eastAsia="仿宋_GB2312" w:cs="Times New Roman"/>
                <w:color w:val="40404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•可复制性（资源适配普通学校硬件条件）</w:t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32"/>
                <w:szCs w:val="32"/>
                <w:lang w:bidi="ar"/>
              </w:rPr>
              <w:t>•规范性（符合国家相关安全规范要求）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B24DB"/>
    <w:rsid w:val="44DB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after="0" w:line="240" w:lineRule="auto"/>
    </w:pPr>
    <w:rPr>
      <w:sz w:val="18"/>
      <w:szCs w:val="18"/>
      <w14:ligatures w14:val="none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2026-04-15T06:51:00Z</dcterms:created>
  <dc:creator>LiJM</dc:creator>
  <cp:lastModifiedBy>LiJM</cp:lastModifiedBy>
  <dcterms:modified xsi:type="dcterms:W3CDTF">2026-04-15T06:51:37Z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