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50786B">
      <w:pPr>
        <w:spacing w:line="576" w:lineRule="exact"/>
        <w:rPr>
          <w:rFonts w:ascii="黑体" w:hAnsi="黑体" w:eastAsia="黑体"/>
          <w:sz w:val="32"/>
          <w:szCs w:val="32"/>
        </w:rPr>
      </w:pPr>
      <w:r>
        <w:rPr>
          <w:rFonts w:hint="eastAsia" w:ascii="黑体" w:hAnsi="黑体" w:eastAsia="黑体"/>
          <w:sz w:val="32"/>
          <w:szCs w:val="32"/>
        </w:rPr>
        <w:t>附件2</w:t>
      </w:r>
    </w:p>
    <w:p w14:paraId="6F1D4B5C">
      <w:pPr>
        <w:adjustRightInd w:val="0"/>
        <w:snapToGrid w:val="0"/>
        <w:spacing w:line="560" w:lineRule="exact"/>
        <w:jc w:val="center"/>
        <w:rPr>
          <w:rFonts w:ascii="方正小标宋简体" w:eastAsia="方正小标宋简体"/>
          <w:sz w:val="44"/>
          <w:szCs w:val="32"/>
        </w:rPr>
      </w:pPr>
      <w:r>
        <w:rPr>
          <w:rFonts w:hint="eastAsia" w:ascii="方正小标宋简体" w:eastAsia="方正小标宋简体"/>
          <w:sz w:val="44"/>
          <w:szCs w:val="32"/>
        </w:rPr>
        <w:t>培训讲师介绍</w:t>
      </w:r>
    </w:p>
    <w:p w14:paraId="1645910C">
      <w:pPr>
        <w:adjustRightInd w:val="0"/>
        <w:snapToGrid w:val="0"/>
        <w:spacing w:line="560" w:lineRule="exact"/>
        <w:ind w:left="321" w:hanging="321" w:hangingChars="100"/>
        <w:rPr>
          <w:rFonts w:hint="eastAsia" w:ascii="方正仿宋_GB2312" w:hAnsi="方正仿宋_GB2312" w:eastAsia="方正仿宋_GB2312" w:cs="方正仿宋_GB2312"/>
          <w:b/>
          <w:bCs/>
          <w:sz w:val="32"/>
          <w:szCs w:val="32"/>
        </w:rPr>
      </w:pPr>
      <w:r>
        <w:rPr>
          <w:rFonts w:hint="eastAsia" w:ascii="方正仿宋_GB2312" w:hAnsi="方正仿宋_GB2312" w:eastAsia="方正仿宋_GB2312" w:cs="方正仿宋_GB2312"/>
          <w:b/>
          <w:bCs/>
          <w:sz w:val="32"/>
          <w:szCs w:val="32"/>
          <w:lang w:val="en-US" w:eastAsia="zh-CN"/>
        </w:rPr>
        <w:t>特邀专家</w:t>
      </w:r>
      <w:r>
        <w:rPr>
          <w:rFonts w:hint="eastAsia" w:ascii="方正仿宋_GB2312" w:hAnsi="方正仿宋_GB2312" w:eastAsia="方正仿宋_GB2312" w:cs="方正仿宋_GB2312"/>
          <w:b/>
          <w:bCs/>
          <w:sz w:val="32"/>
          <w:szCs w:val="32"/>
        </w:rPr>
        <w:t>:</w:t>
      </w:r>
    </w:p>
    <w:p w14:paraId="3C251C81">
      <w:pPr>
        <w:pStyle w:val="2"/>
        <w:keepNext w:val="0"/>
        <w:keepLines w:val="0"/>
        <w:pageBreakBefore w:val="0"/>
        <w:widowControl w:val="0"/>
        <w:kinsoku/>
        <w:wordWrap/>
        <w:overflowPunct/>
        <w:topLinePunct w:val="0"/>
        <w:autoSpaceDE/>
        <w:autoSpaceDN/>
        <w:bidi w:val="0"/>
        <w:adjustRightInd w:val="0"/>
        <w:snapToGrid w:val="0"/>
        <w:spacing w:before="223" w:line="560" w:lineRule="exact"/>
        <w:ind w:left="1285" w:right="136" w:hanging="1285" w:hangingChars="400"/>
        <w:textAlignment w:val="auto"/>
        <w:rPr>
          <w:rFonts w:hint="eastAsia" w:ascii="方正仿宋_GB2312" w:hAnsi="方正仿宋_GB2312" w:eastAsia="方正仿宋_GB2312" w:cs="方正仿宋_GB2312"/>
          <w:b w:val="0"/>
          <w:bCs w:val="0"/>
          <w:color w:val="333333"/>
          <w:kern w:val="2"/>
          <w:sz w:val="32"/>
          <w:szCs w:val="32"/>
          <w:shd w:val="clear" w:color="auto" w:fill="FFFFFF"/>
          <w:lang w:val="en-US" w:eastAsia="zh-CN" w:bidi="ar-SA"/>
        </w:rPr>
      </w:pPr>
      <w:r>
        <w:rPr>
          <w:rFonts w:hint="eastAsia" w:ascii="方正仿宋_GB2312" w:hAnsi="方正仿宋_GB2312" w:eastAsia="方正仿宋_GB2312" w:cs="方正仿宋_GB2312"/>
          <w:b/>
          <w:bCs/>
          <w:kern w:val="2"/>
          <w:sz w:val="32"/>
          <w:szCs w:val="32"/>
          <w:lang w:val="en-US" w:eastAsia="zh-CN" w:bidi="ar-SA"/>
        </w:rPr>
        <w:t xml:space="preserve">马小峰  </w:t>
      </w:r>
      <w:r>
        <w:rPr>
          <w:rFonts w:hint="eastAsia" w:ascii="方正仿宋_GB2312" w:hAnsi="方正仿宋_GB2312" w:eastAsia="方正仿宋_GB2312" w:cs="方正仿宋_GB2312"/>
          <w:b w:val="0"/>
          <w:bCs w:val="0"/>
          <w:color w:val="333333"/>
          <w:kern w:val="2"/>
          <w:sz w:val="32"/>
          <w:szCs w:val="32"/>
          <w:shd w:val="clear" w:color="auto" w:fill="FFFFFF"/>
          <w:lang w:val="en-US" w:eastAsia="zh-CN" w:bidi="ar-SA"/>
        </w:rPr>
        <w:t>上海区块链技术研究中心主任，上海市区块链专家委委员，中国电子学会区块链分会副主任委员，教育部电子信息职业教学指导委员会委员，全国证券技术标准委员会专家委员，江苏省“大数据+”产业链首席专家，电子商务与电子支付国家工程研究中心特聘专家，上海交通委区块链专家、香港中文大学（深圳）兼职研究生导师，上海财经大学金融科技与金融安全研究中心首席专家，云南省马小峰专家工作站负责人。创建同济区块链研究院，曾担任中国人民银行数字货币研究所首届金融区块链专家、芬兰国家技术创新局（Tekes）顾问。主笔人社部&amp;工信部《区块链工程技术人员国家职业技术技能标准》，主编人社部《区块链工程技术人员》新职业培训教程和中国科协新一代信息技术系列丛书《区块链导论》。</w:t>
      </w:r>
    </w:p>
    <w:p w14:paraId="49997FA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40" w:lineRule="auto"/>
        <w:ind w:left="1280" w:leftChars="0" w:right="0" w:hanging="1280" w:hangingChars="400"/>
        <w:jc w:val="both"/>
        <w:textAlignment w:val="auto"/>
        <w:rPr>
          <w:rFonts w:hint="default" w:ascii="方正仿宋_GB2312" w:hAnsi="方正仿宋_GB2312" w:eastAsia="方正仿宋_GB2312" w:cs="方正仿宋_GB2312"/>
          <w:b w:val="0"/>
          <w:bCs w:val="0"/>
          <w:kern w:val="2"/>
          <w:sz w:val="32"/>
          <w:szCs w:val="32"/>
          <w:lang w:val="en-US" w:eastAsia="zh-CN" w:bidi="ar-SA"/>
        </w:rPr>
      </w:pPr>
    </w:p>
    <w:p w14:paraId="6BA4A61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40" w:lineRule="auto"/>
        <w:ind w:left="1285" w:leftChars="0" w:right="0" w:hanging="1285" w:hangingChars="400"/>
        <w:jc w:val="both"/>
        <w:textAlignment w:val="auto"/>
        <w:rPr>
          <w:rFonts w:hint="default" w:ascii="方正仿宋_GB2312" w:hAnsi="方正仿宋_GB2312" w:eastAsia="方正仿宋_GB2312" w:cs="方正仿宋_GB2312"/>
          <w:b w:val="0"/>
          <w:bCs w:val="0"/>
          <w:kern w:val="2"/>
          <w:sz w:val="32"/>
          <w:szCs w:val="32"/>
          <w:lang w:val="en-US" w:eastAsia="zh-CN" w:bidi="ar-SA"/>
        </w:rPr>
      </w:pPr>
      <w:r>
        <w:rPr>
          <w:rFonts w:hint="eastAsia" w:ascii="方正仿宋_GB2312" w:hAnsi="方正仿宋_GB2312" w:eastAsia="方正仿宋_GB2312" w:cs="方正仿宋_GB2312"/>
          <w:b/>
          <w:bCs/>
          <w:kern w:val="2"/>
          <w:sz w:val="32"/>
          <w:szCs w:val="32"/>
          <w:lang w:val="en-US" w:eastAsia="zh-CN" w:bidi="ar-SA"/>
        </w:rPr>
        <w:t xml:space="preserve">胡  凯 </w:t>
      </w:r>
      <w:r>
        <w:rPr>
          <w:rFonts w:hint="eastAsia" w:ascii="方正仿宋_GB2312" w:hAnsi="方正仿宋_GB2312" w:eastAsia="方正仿宋_GB2312" w:cs="方正仿宋_GB2312"/>
          <w:b w:val="0"/>
          <w:bCs w:val="0"/>
          <w:color w:val="333333"/>
          <w:kern w:val="2"/>
          <w:sz w:val="32"/>
          <w:szCs w:val="32"/>
          <w:shd w:val="clear" w:color="auto" w:fill="FFFFFF"/>
          <w:lang w:val="en-US" w:eastAsia="zh-CN" w:bidi="ar-SA"/>
        </w:rPr>
        <w:t xml:space="preserve"> 北京航空航天大学教授，中国电子学会区块链分会委员。致力于区块链技术与数字经济领域研究，是国内较早从事区块链技术的研究学者之一，提出并发展了智能合约工程（SCE）、验证即服务（VaaS）等理论方法，在数字经济与区块链结合、数字经济园区规划和咨询、区块链数字治理、区块链可扩展性、多链互联和区块链形式化验证技术等方面具有深入研究和专利性成果。研发了北航区块链相关系统、浏览器、监控器、部署工具和区块链大数据管理系统（OpenData）等自主知识产权系列产品，已经应用在多个重要领域。近年来在国内外重要学术期刊会议上发表SCI/EI检索论文60余篇，主编《网络计算新技术，联合主编国家级“十一五”规划教材《分布式计算系统导论》。先后主持和参与多项国家自然基金、教育部产业基金、863重大项目、国家核高基项目、航空航天基金、以及多项航空航天领域项目。获得国家发明专利和软著40余项，2015年获航空基金委5年优秀成果奖，2018年中国产学研创新成果二等奖。</w:t>
      </w:r>
    </w:p>
    <w:p w14:paraId="5EEF1599">
      <w:pPr>
        <w:adjustRightInd w:val="0"/>
        <w:snapToGrid w:val="0"/>
        <w:spacing w:line="560" w:lineRule="exact"/>
        <w:ind w:left="321" w:hanging="321" w:hangingChars="100"/>
        <w:rPr>
          <w:rFonts w:hint="eastAsia" w:ascii="方正仿宋_GB2312" w:hAnsi="方正仿宋_GB2312" w:eastAsia="方正仿宋_GB2312" w:cs="方正仿宋_GB2312"/>
          <w:b/>
          <w:bCs/>
          <w:sz w:val="32"/>
          <w:szCs w:val="32"/>
        </w:rPr>
      </w:pPr>
      <w:r>
        <w:rPr>
          <w:rFonts w:hint="eastAsia" w:ascii="方正仿宋_GB2312" w:hAnsi="方正仿宋_GB2312" w:eastAsia="方正仿宋_GB2312" w:cs="方正仿宋_GB2312"/>
          <w:b/>
          <w:bCs/>
          <w:sz w:val="32"/>
          <w:szCs w:val="32"/>
        </w:rPr>
        <w:t>主讲讲师：</w:t>
      </w:r>
    </w:p>
    <w:p w14:paraId="661F227C">
      <w:pPr>
        <w:keepNext w:val="0"/>
        <w:keepLines w:val="0"/>
        <w:pageBreakBefore w:val="0"/>
        <w:widowControl w:val="0"/>
        <w:kinsoku/>
        <w:wordWrap/>
        <w:overflowPunct/>
        <w:topLinePunct w:val="0"/>
        <w:autoSpaceDE/>
        <w:autoSpaceDN/>
        <w:bidi w:val="0"/>
        <w:adjustRightInd w:val="0"/>
        <w:snapToGrid w:val="0"/>
        <w:spacing w:line="560" w:lineRule="exact"/>
        <w:ind w:left="1285" w:hanging="1285" w:hangingChars="400"/>
        <w:jc w:val="both"/>
        <w:textAlignment w:val="auto"/>
        <w:rPr>
          <w:rFonts w:hint="eastAsia" w:ascii="方正仿宋_GB2312" w:hAnsi="方正仿宋_GB2312" w:eastAsia="方正仿宋_GB2312" w:cs="方正仿宋_GB2312"/>
          <w:b w:val="0"/>
          <w:bCs w:val="0"/>
          <w:kern w:val="2"/>
          <w:sz w:val="32"/>
          <w:szCs w:val="32"/>
          <w:lang w:val="en-US" w:eastAsia="zh-CN" w:bidi="ar-SA"/>
        </w:rPr>
      </w:pPr>
      <w:r>
        <w:rPr>
          <w:rFonts w:hint="eastAsia" w:ascii="方正仿宋_GB2312" w:hAnsi="方正仿宋_GB2312" w:eastAsia="方正仿宋_GB2312" w:cs="方正仿宋_GB2312"/>
          <w:b/>
          <w:bCs/>
          <w:sz w:val="32"/>
          <w:szCs w:val="32"/>
        </w:rPr>
        <w:t>林敏学</w:t>
      </w:r>
      <w:r>
        <w:rPr>
          <w:rFonts w:hint="eastAsia" w:ascii="方正仿宋_GB2312" w:hAnsi="方正仿宋_GB2312" w:eastAsia="方正仿宋_GB2312" w:cs="方正仿宋_GB2312"/>
          <w:b/>
          <w:bCs/>
          <w:sz w:val="32"/>
          <w:szCs w:val="32"/>
          <w:lang w:val="en-US" w:eastAsia="zh-CN"/>
        </w:rPr>
        <w:t xml:space="preserve">  </w:t>
      </w:r>
      <w:r>
        <w:rPr>
          <w:rFonts w:hint="eastAsia" w:ascii="方正仿宋_GB2312" w:hAnsi="方正仿宋_GB2312" w:eastAsia="方正仿宋_GB2312" w:cs="方正仿宋_GB2312"/>
          <w:b w:val="0"/>
          <w:bCs w:val="0"/>
          <w:kern w:val="2"/>
          <w:sz w:val="32"/>
          <w:szCs w:val="32"/>
          <w:lang w:val="en-US" w:eastAsia="zh-CN" w:bidi="ar-SA"/>
        </w:rPr>
        <w:t>北京新大陆时代科技有限公司企业高级专家。近10年互联网、物联网、区块链等领域技术研究和开发工作，具备多年项目管理及大型项目经验。多次参与物联网、区块链比赛现场技术支持、裁判等工作。编写了《以太坊智能合约与DAPP开发》《超级帐本应用开发》《区块链平台搭建与运维》等实训课程；参与人社部组织的区块链操作员职业技能等级认定题库开发工作。</w:t>
      </w:r>
    </w:p>
    <w:p w14:paraId="2E00B3A0">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1" w:fontKey="{6CD9FE6A-3EB2-41DD-BE96-D96D89F52805}"/>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00000001" w:usb1="08000000" w:usb2="00000000" w:usb3="00000000" w:csb0="00040000" w:csb1="00000000"/>
    <w:embedRegular r:id="rId2" w:fontKey="{285F52E5-84A2-4AB0-B7D9-4C133B9BB834}"/>
  </w:font>
  <w:font w:name="方正仿宋_GB2312">
    <w:panose1 w:val="02000000000000000000"/>
    <w:charset w:val="86"/>
    <w:family w:val="auto"/>
    <w:pitch w:val="default"/>
    <w:sig w:usb0="A00002BF" w:usb1="184F6CFA" w:usb2="00000012" w:usb3="00000000" w:csb0="00040001" w:csb1="00000000"/>
    <w:embedRegular r:id="rId3" w:fontKey="{660494DD-E1F9-4ADD-9AFE-11666DC53CC7}"/>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4MTI5NzgzZWFlYjNmYjY0YWM0NGZhMWFiMzcxOTAifQ=="/>
  </w:docVars>
  <w:rsids>
    <w:rsidRoot w:val="38CB3645"/>
    <w:rsid w:val="38CB36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qFormat/>
    <w:uiPriority w:val="1"/>
    <w:rPr>
      <w:rFonts w:ascii="仿宋" w:hAnsi="仿宋" w:eastAsia="仿宋" w:cs="仿宋"/>
      <w:sz w:val="32"/>
      <w:szCs w:val="32"/>
      <w:lang w:val="zh-CN" w:bidi="zh-CN"/>
    </w:rPr>
  </w:style>
  <w:style w:type="paragraph" w:styleId="3">
    <w:name w:val="Normal (Web)"/>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2024-06-21T08:29:00Z</dcterms:created>
  <dc:creator>✨Cindy</dc:creator>
  <cp:lastModifiedBy>✨Cindy</cp:lastModifiedBy>
  <dcterms:modified xsi:type="dcterms:W3CDTF">2024-06-21T08:30:11Z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FC16FC5316EF4EB690D7E536E0B1D39A_11</vt:lpwstr>
  </property>
</Properties>
</file>