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 w:line="360" w:lineRule="auto"/>
        <w:ind w:left="0" w:leftChars="0" w:right="1014" w:rightChars="300" w:firstLine="0" w:firstLineChars="0"/>
        <w:jc w:val="both"/>
        <w:rPr>
          <w:rFonts w:hint="default" w:ascii="仿宋" w:hAnsi="仿宋" w:eastAsia="仿宋" w:cs="仿宋"/>
          <w:bCs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adjustRightInd w:val="0"/>
        <w:snapToGrid w:val="0"/>
        <w:spacing w:line="240" w:lineRule="auto"/>
        <w:ind w:firstLine="0" w:firstLineChars="0"/>
        <w:jc w:val="center"/>
        <w:rPr>
          <w:rFonts w:hint="eastAsia" w:ascii="黑体" w:hAnsi="黑体" w:eastAsia="黑体" w:cs="Times New Roman"/>
          <w:b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开幕式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日程</w:t>
      </w:r>
    </w:p>
    <w:p>
      <w:pPr>
        <w:keepNext/>
        <w:keepLines/>
        <w:outlineLvl w:val="1"/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 w:bidi="ar-SA"/>
        </w:rPr>
      </w:pPr>
    </w:p>
    <w:p>
      <w:pPr>
        <w:adjustRightInd w:val="0"/>
        <w:snapToGrid w:val="0"/>
        <w:spacing w:line="240" w:lineRule="auto"/>
        <w:ind w:firstLine="0" w:firstLineChars="0"/>
        <w:jc w:val="left"/>
        <w:rPr>
          <w:rFonts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bCs/>
          <w:kern w:val="0"/>
          <w:sz w:val="28"/>
          <w:szCs w:val="28"/>
        </w:rPr>
        <w:t>时间：2024年6月6日 上午 08:30-12:00</w:t>
      </w:r>
    </w:p>
    <w:p>
      <w:pPr>
        <w:adjustRightInd w:val="0"/>
        <w:snapToGrid w:val="0"/>
        <w:spacing w:line="240" w:lineRule="auto"/>
        <w:ind w:firstLine="0" w:firstLineChars="0"/>
        <w:jc w:val="left"/>
        <w:rPr>
          <w:rFonts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bCs/>
          <w:kern w:val="0"/>
          <w:sz w:val="28"/>
          <w:szCs w:val="28"/>
        </w:rPr>
        <w:t>地点：安徽省合肥市香格里拉二层宴会厅</w:t>
      </w:r>
    </w:p>
    <w:p>
      <w:pPr>
        <w:adjustRightInd w:val="0"/>
        <w:snapToGrid w:val="0"/>
        <w:spacing w:line="240" w:lineRule="auto"/>
        <w:ind w:firstLine="0" w:firstLineChars="0"/>
        <w:jc w:val="left"/>
        <w:rPr>
          <w:rFonts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bCs/>
          <w:kern w:val="0"/>
          <w:sz w:val="28"/>
          <w:szCs w:val="28"/>
        </w:rPr>
        <w:t>主持人：中国电子学会副理事长兼秘书长</w:t>
      </w:r>
      <w:r>
        <w:rPr>
          <w:rFonts w:hint="eastAsia" w:ascii="Times New Roman" w:hAnsi="Times New Roman" w:eastAsia="仿宋" w:cs="Times New Roman"/>
          <w:bCs/>
          <w:kern w:val="0"/>
          <w:sz w:val="28"/>
          <w:szCs w:val="28"/>
        </w:rPr>
        <w:t xml:space="preserve"> 陈英</w:t>
      </w:r>
    </w:p>
    <w:tbl>
      <w:tblPr>
        <w:tblStyle w:val="4"/>
        <w:tblW w:w="9536" w:type="dxa"/>
        <w:tblInd w:w="-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4257"/>
        <w:gridCol w:w="3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26" w:type="dxa"/>
            <w:shd w:val="clear" w:color="auto" w:fill="00B050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FFFFFF"/>
                <w:kern w:val="2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FFFFFF"/>
                <w:kern w:val="2"/>
                <w:sz w:val="28"/>
                <w:szCs w:val="22"/>
              </w:rPr>
              <w:t>报告时间</w:t>
            </w:r>
          </w:p>
        </w:tc>
        <w:tc>
          <w:tcPr>
            <w:tcW w:w="4257" w:type="dxa"/>
            <w:shd w:val="clear" w:color="auto" w:fill="00B050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FFFFFF"/>
                <w:kern w:val="2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FFFFFF"/>
                <w:kern w:val="2"/>
                <w:sz w:val="28"/>
                <w:szCs w:val="22"/>
              </w:rPr>
              <w:t>报告内容</w:t>
            </w:r>
          </w:p>
        </w:tc>
        <w:tc>
          <w:tcPr>
            <w:tcW w:w="3453" w:type="dxa"/>
            <w:shd w:val="clear" w:color="auto" w:fill="00B050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FFFFFF"/>
                <w:kern w:val="2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FFFFFF"/>
                <w:kern w:val="2"/>
                <w:sz w:val="28"/>
                <w:szCs w:val="22"/>
              </w:rPr>
              <w:t>报告人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08:30-09:00</w:t>
            </w:r>
          </w:p>
        </w:tc>
        <w:tc>
          <w:tcPr>
            <w:tcW w:w="77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  <w:t>巡展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09:00-09: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7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  <w:t>领导致辞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09: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0-09: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7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  <w:t>发布2023年度国家绿色数据中心名单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09: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5-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  <w:t>09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7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  <w:t>视频展示国家绿色数据中心建设成效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  <w:t>09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0-10: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25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  <w:t>智算中心网络建设及与电力网协同调度等方面做主题报告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1"/>
              </w:rPr>
              <w:t>院士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2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25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  <w:t>安全智能绿色精益的数据中心发展之路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1"/>
              </w:rPr>
              <w:t>侯劲松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  <w:t>国网安徽省电力有限公司 总经理、党委副书记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  <w:t>发展绿色算力网络，打造高质量绿色新基建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李  伟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中国移动通信集团有限公司计划建设部副总经理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  <w:t>星星之火，可以燎原——润泽科技对智算中心绿色发展的探索与实践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1"/>
              </w:rPr>
              <w:t>祝  敬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  <w:t>润泽科技发展有限公司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  <w:t xml:space="preserve">常务副总裁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  <w:t>聚力智算生态，打造零碳液冷数据中心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1"/>
              </w:rPr>
              <w:t>丁俊峰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  <w:t>超聚变数字技术有限公司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  <w:t>总监</w:t>
            </w:r>
          </w:p>
        </w:tc>
      </w:tr>
    </w:tbl>
    <w:p>
      <w:pPr>
        <w:adjustRightInd w:val="0"/>
        <w:snapToGrid w:val="0"/>
        <w:spacing w:line="240" w:lineRule="auto"/>
        <w:ind w:firstLine="0" w:firstLineChars="0"/>
        <w:jc w:val="left"/>
        <w:rPr>
          <w:rFonts w:ascii="Times New Roman" w:hAnsi="Times New Roman" w:eastAsia="宋体" w:cs="Times New Roman"/>
          <w:bCs/>
          <w:kern w:val="0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jc w:val="left"/>
        <w:rPr>
          <w:rFonts w:hint="eastAsia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Cs/>
          <w:kern w:val="0"/>
          <w:sz w:val="28"/>
          <w:szCs w:val="28"/>
        </w:rPr>
        <w:t>注：最终日程，以现场安排为准。</w:t>
      </w:r>
    </w:p>
    <w:p>
      <w:pPr>
        <w:rPr>
          <w:rFonts w:hint="eastAsia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Cs/>
          <w:kern w:val="0"/>
          <w:sz w:val="28"/>
          <w:szCs w:val="28"/>
        </w:rPr>
        <w:br w:type="page"/>
      </w:r>
    </w:p>
    <w:p>
      <w:pPr>
        <w:adjustRightInd w:val="0"/>
        <w:snapToGrid w:val="0"/>
        <w:spacing w:line="240" w:lineRule="auto"/>
        <w:ind w:firstLine="0" w:firstLineChars="0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专题活动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日程</w:t>
      </w:r>
    </w:p>
    <w:p>
      <w:pPr>
        <w:adjustRightInd w:val="0"/>
        <w:snapToGrid w:val="0"/>
        <w:ind w:left="0" w:leftChars="0" w:firstLine="0" w:firstLineChars="0"/>
        <w:rPr>
          <w:rFonts w:eastAsia="仿宋" w:cs="Times New Roman"/>
          <w:bCs/>
          <w:sz w:val="28"/>
          <w:szCs w:val="28"/>
        </w:rPr>
      </w:pPr>
      <w:r>
        <w:rPr>
          <w:rFonts w:eastAsia="仿宋" w:cs="Times New Roman"/>
          <w:bCs/>
          <w:sz w:val="28"/>
          <w:szCs w:val="28"/>
        </w:rPr>
        <w:t>时间：202</w:t>
      </w:r>
      <w:r>
        <w:rPr>
          <w:rFonts w:hint="eastAsia" w:eastAsia="仿宋" w:cs="Times New Roman"/>
          <w:bCs/>
          <w:sz w:val="28"/>
          <w:szCs w:val="28"/>
        </w:rPr>
        <w:t>4</w:t>
      </w:r>
      <w:r>
        <w:rPr>
          <w:rFonts w:eastAsia="仿宋" w:cs="Times New Roman"/>
          <w:bCs/>
          <w:sz w:val="28"/>
          <w:szCs w:val="28"/>
        </w:rPr>
        <w:t>年</w:t>
      </w:r>
      <w:r>
        <w:rPr>
          <w:rFonts w:hint="eastAsia" w:eastAsia="仿宋" w:cs="Times New Roman"/>
          <w:bCs/>
          <w:sz w:val="28"/>
          <w:szCs w:val="28"/>
        </w:rPr>
        <w:t>6</w:t>
      </w:r>
      <w:r>
        <w:rPr>
          <w:rFonts w:eastAsia="仿宋" w:cs="Times New Roman"/>
          <w:bCs/>
          <w:sz w:val="28"/>
          <w:szCs w:val="28"/>
        </w:rPr>
        <w:t>月</w:t>
      </w:r>
      <w:r>
        <w:rPr>
          <w:rFonts w:hint="eastAsia" w:eastAsia="仿宋" w:cs="Times New Roman"/>
          <w:bCs/>
          <w:sz w:val="28"/>
          <w:szCs w:val="28"/>
        </w:rPr>
        <w:t>6</w:t>
      </w:r>
      <w:r>
        <w:rPr>
          <w:rFonts w:eastAsia="仿宋" w:cs="Times New Roman"/>
          <w:bCs/>
          <w:sz w:val="28"/>
          <w:szCs w:val="28"/>
        </w:rPr>
        <w:t xml:space="preserve">日 </w:t>
      </w:r>
      <w:r>
        <w:rPr>
          <w:rFonts w:hint="eastAsia" w:eastAsia="仿宋" w:cs="Times New Roman"/>
          <w:bCs/>
          <w:sz w:val="28"/>
          <w:szCs w:val="28"/>
        </w:rPr>
        <w:t>下午</w:t>
      </w:r>
      <w:r>
        <w:rPr>
          <w:rFonts w:eastAsia="仿宋" w:cs="Times New Roman"/>
          <w:bCs/>
          <w:sz w:val="28"/>
          <w:szCs w:val="28"/>
        </w:rPr>
        <w:t xml:space="preserve"> 13:</w:t>
      </w:r>
      <w:r>
        <w:rPr>
          <w:rFonts w:hint="eastAsia" w:eastAsia="仿宋" w:cs="Times New Roman"/>
          <w:bCs/>
          <w:sz w:val="28"/>
          <w:szCs w:val="28"/>
        </w:rPr>
        <w:t>30</w:t>
      </w:r>
      <w:r>
        <w:rPr>
          <w:rFonts w:eastAsia="仿宋" w:cs="Times New Roman"/>
          <w:bCs/>
          <w:sz w:val="28"/>
          <w:szCs w:val="28"/>
        </w:rPr>
        <w:t>-1</w:t>
      </w:r>
      <w:r>
        <w:rPr>
          <w:rFonts w:hint="eastAsia" w:eastAsia="仿宋" w:cs="Times New Roman"/>
          <w:bCs/>
          <w:sz w:val="28"/>
          <w:szCs w:val="28"/>
        </w:rPr>
        <w:t>7</w:t>
      </w:r>
      <w:r>
        <w:rPr>
          <w:rFonts w:eastAsia="仿宋" w:cs="Times New Roman"/>
          <w:bCs/>
          <w:sz w:val="28"/>
          <w:szCs w:val="28"/>
        </w:rPr>
        <w:t>:00</w:t>
      </w:r>
    </w:p>
    <w:p>
      <w:pPr>
        <w:adjustRightInd w:val="0"/>
        <w:snapToGrid w:val="0"/>
        <w:spacing w:line="240" w:lineRule="auto"/>
        <w:ind w:left="0" w:leftChars="0" w:firstLine="0" w:firstLineChars="0"/>
        <w:jc w:val="both"/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eastAsia="仿宋" w:cs="Times New Roman"/>
          <w:bCs/>
          <w:sz w:val="28"/>
          <w:szCs w:val="28"/>
        </w:rPr>
        <w:t>地点：</w:t>
      </w:r>
      <w:r>
        <w:rPr>
          <w:rFonts w:hint="eastAsia" w:eastAsia="仿宋" w:cs="Times New Roman"/>
          <w:bCs/>
          <w:sz w:val="28"/>
          <w:szCs w:val="28"/>
        </w:rPr>
        <w:t>安徽省合肥市香格里拉二层</w:t>
      </w:r>
    </w:p>
    <w:tbl>
      <w:tblPr>
        <w:tblStyle w:val="4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6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313" w:type="dxa"/>
            <w:shd w:val="clear" w:color="auto" w:fill="00B050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FFFF"/>
                <w:kern w:val="2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FFFF"/>
                <w:kern w:val="2"/>
                <w:sz w:val="28"/>
                <w:szCs w:val="22"/>
                <w:lang w:val="en-US" w:eastAsia="zh-CN"/>
              </w:rPr>
              <w:t>专题活动名称</w:t>
            </w:r>
          </w:p>
        </w:tc>
        <w:tc>
          <w:tcPr>
            <w:tcW w:w="6863" w:type="dxa"/>
            <w:shd w:val="clear" w:color="auto" w:fill="00B050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FFFF"/>
                <w:kern w:val="2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FFFF"/>
                <w:kern w:val="2"/>
                <w:sz w:val="28"/>
                <w:szCs w:val="22"/>
                <w:lang w:val="en-US" w:eastAsia="zh-CN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231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  <w:t>智算绿色发展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1"/>
                <w:lang w:val="en-US" w:eastAsia="zh-CN"/>
              </w:rPr>
              <w:t>专题活动</w:t>
            </w:r>
          </w:p>
        </w:tc>
        <w:tc>
          <w:tcPr>
            <w:tcW w:w="686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  <w:t>发布并推广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1"/>
                <w:lang w:eastAsia="zh-CN"/>
              </w:rPr>
              <w:t>《国家工业和信息化领域节能降碳技术装备推荐目录（2024年版）》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  <w:t>信息化领域节能降碳技术，包括数据中心节能降碳技术，通信基站、机房节能降碳技术等。探讨能效算法、数据中心的可持续运营。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231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  <w:t>数据中心绿色化改造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1"/>
                <w:lang w:val="en-US" w:eastAsia="zh-CN"/>
              </w:rPr>
              <w:t>专题活动</w:t>
            </w:r>
          </w:p>
        </w:tc>
        <w:tc>
          <w:tcPr>
            <w:tcW w:w="686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  <w:t>宣贯节能诊断方法，分享数据中心节能改造方面的成功经验与适用技术，推动行业内节能技术和服务模式的创新与发展。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31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  <w:t>液冷技术高质量发展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1"/>
                <w:lang w:val="en-US" w:eastAsia="zh-CN"/>
              </w:rPr>
              <w:t>专题活动</w:t>
            </w:r>
          </w:p>
        </w:tc>
        <w:tc>
          <w:tcPr>
            <w:tcW w:w="686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</w:rPr>
              <w:t>充分发挥标准引领作用，助力液冷数据中心生态发展，扩大液冷技术应用，促进数据中心绿色转型。</w:t>
            </w:r>
          </w:p>
        </w:tc>
      </w:tr>
    </w:tbl>
    <w:p>
      <w:pPr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5" w:left="1588" w:header="851" w:footer="138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79" w:charSpace="38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76"/>
      </w:pPr>
      <w:r>
        <w:separator/>
      </w:r>
    </w:p>
  </w:endnote>
  <w:endnote w:type="continuationSeparator" w:id="1">
    <w:p>
      <w:pPr>
        <w:spacing w:line="240" w:lineRule="auto"/>
        <w:ind w:firstLine="67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76"/>
      </w:pPr>
      <w:r>
        <w:separator/>
      </w:r>
    </w:p>
  </w:footnote>
  <w:footnote w:type="continuationSeparator" w:id="1">
    <w:p>
      <w:pPr>
        <w:spacing w:line="240" w:lineRule="auto"/>
        <w:ind w:firstLine="67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473F6AE2"/>
    <w:rsid w:val="14480A1C"/>
    <w:rsid w:val="414F138B"/>
    <w:rsid w:val="473F6AE2"/>
    <w:rsid w:val="56BB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ind w:firstLine="200" w:firstLineChars="20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adjustRightInd w:val="0"/>
      <w:snapToGrid w:val="0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2024-05-13T05:28:00Z</dcterms:created>
  <dc:creator>XL</dc:creator>
  <cp:lastModifiedBy>XL</cp:lastModifiedBy>
  <cp:lastPrinted>2024-05-13T05:33:00Z</cp:lastPrinted>
  <dcterms:modified xsi:type="dcterms:W3CDTF">2024-05-14T05:57:32Z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C47459889BBB42FB9DC2A3C266F34B9B_13</vt:lpwstr>
  </property>
</Properties>
</file>