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adjustRightInd w:val="0"/>
        <w:snapToGrid w:val="0"/>
        <w:spacing w:before="156" w:beforeLines="50" w:after="156" w:afterLines="50"/>
        <w:rPr>
          <w:rFonts w:hint="eastAsia" w:ascii="黑体" w:hAnsi="黑体" w:eastAsia="黑体" w:cs="黑体"/>
          <w:sz w:val="32"/>
          <w:szCs w:val="48"/>
        </w:rPr>
      </w:pPr>
      <w:r>
        <w:rPr>
          <w:rFonts w:hint="eastAsia" w:ascii="黑体" w:hAnsi="黑体" w:eastAsia="黑体" w:cs="黑体"/>
          <w:sz w:val="32"/>
          <w:szCs w:val="48"/>
        </w:rPr>
        <w:t>评分标准</w:t>
      </w:r>
      <w:bookmarkStart w:id="0" w:name="_GoBack"/>
      <w:bookmarkEnd w:id="0"/>
    </w:p>
    <w:tbl>
      <w:tblPr>
        <w:tblStyle w:val="5"/>
        <w:tblW w:w="922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08"/>
        <w:gridCol w:w="718"/>
        <w:gridCol w:w="6160"/>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3" w:hRule="atLeast"/>
          <w:tblHeader/>
          <w:jc w:val="center"/>
        </w:trPr>
        <w:tc>
          <w:tcPr>
            <w:tcW w:w="1208" w:type="dxa"/>
            <w:shd w:val="clear" w:color="auto" w:fill="F1F1F1"/>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评分项</w:t>
            </w:r>
          </w:p>
        </w:tc>
        <w:tc>
          <w:tcPr>
            <w:tcW w:w="718" w:type="dxa"/>
            <w:shd w:val="clear" w:color="auto" w:fill="F1F1F1"/>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名称</w:t>
            </w:r>
          </w:p>
        </w:tc>
        <w:tc>
          <w:tcPr>
            <w:tcW w:w="6160" w:type="dxa"/>
            <w:shd w:val="clear" w:color="auto" w:fill="F1F1F1"/>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评分标准</w:t>
            </w:r>
          </w:p>
        </w:tc>
        <w:tc>
          <w:tcPr>
            <w:tcW w:w="1134" w:type="dxa"/>
            <w:shd w:val="clear" w:color="auto" w:fill="F1F1F1"/>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90" w:hRule="atLeast"/>
          <w:jc w:val="center"/>
        </w:trPr>
        <w:tc>
          <w:tcPr>
            <w:tcW w:w="1208" w:type="dxa"/>
            <w:shd w:val="clear" w:color="auto" w:fill="FFFFFF"/>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价格部分</w:t>
            </w:r>
          </w:p>
        </w:tc>
        <w:tc>
          <w:tcPr>
            <w:tcW w:w="718"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价格</w:t>
            </w:r>
          </w:p>
        </w:tc>
        <w:tc>
          <w:tcPr>
            <w:tcW w:w="6160" w:type="dxa"/>
            <w:shd w:val="clear" w:color="auto" w:fill="FFFFFF"/>
            <w:vAlign w:val="center"/>
          </w:tcPr>
          <w:p>
            <w:pPr>
              <w:adjustRightInd w:val="0"/>
              <w:snapToGrid w:val="0"/>
              <w:spacing w:before="156" w:beforeLines="50" w:after="156" w:afterLines="50"/>
              <w:rPr>
                <w:rFonts w:hint="eastAsia" w:ascii="宋体" w:hAnsi="宋体" w:cs="宋体"/>
                <w:sz w:val="21"/>
                <w:szCs w:val="21"/>
              </w:rPr>
            </w:pPr>
            <w:r>
              <w:rPr>
                <w:rFonts w:hint="eastAsia" w:ascii="微软雅黑" w:hAnsi="微软雅黑" w:eastAsia="微软雅黑" w:cs="微软雅黑"/>
                <w:color w:val="333333"/>
                <w:kern w:val="0"/>
                <w:sz w:val="18"/>
                <w:szCs w:val="18"/>
                <w:lang w:bidi="ar"/>
              </w:rPr>
              <w:t>以</w:t>
            </w:r>
            <w:r>
              <w:rPr>
                <w:rFonts w:hint="eastAsia" w:ascii="微软雅黑" w:hAnsi="微软雅黑" w:eastAsia="微软雅黑" w:cs="微软雅黑"/>
                <w:color w:val="333333"/>
                <w:kern w:val="0"/>
                <w:sz w:val="18"/>
                <w:szCs w:val="18"/>
                <w:lang w:val="en-US" w:eastAsia="zh-CN" w:bidi="ar"/>
              </w:rPr>
              <w:t>最低价</w:t>
            </w:r>
            <w:r>
              <w:rPr>
                <w:rFonts w:hint="eastAsia" w:ascii="微软雅黑" w:hAnsi="微软雅黑" w:eastAsia="微软雅黑" w:cs="微软雅黑"/>
                <w:color w:val="333333"/>
                <w:kern w:val="0"/>
                <w:sz w:val="18"/>
                <w:szCs w:val="18"/>
                <w:lang w:bidi="ar"/>
              </w:rPr>
              <w:t>为基准值，如报价小于或等于基准值得满分，如报价大于基准值得分技术算公式为：（基准值/报价）*30</w:t>
            </w:r>
          </w:p>
        </w:tc>
        <w:tc>
          <w:tcPr>
            <w:tcW w:w="1134" w:type="dxa"/>
            <w:shd w:val="clear" w:color="auto" w:fill="FFFFFF"/>
            <w:vAlign w:val="center"/>
          </w:tcPr>
          <w:p>
            <w:pPr>
              <w:adjustRightInd w:val="0"/>
              <w:snapToGrid w:val="0"/>
              <w:spacing w:before="156" w:beforeLines="50" w:after="156" w:afterLines="50"/>
              <w:jc w:val="center"/>
              <w:rPr>
                <w:rFonts w:ascii="宋体" w:hAnsi="宋体" w:cs="宋体"/>
                <w:sz w:val="21"/>
                <w:szCs w:val="21"/>
              </w:rPr>
            </w:pPr>
            <w:r>
              <w:rPr>
                <w:rFonts w:hint="eastAsia" w:ascii="宋体" w:hAnsi="宋体" w:cs="宋体"/>
                <w:sz w:val="21"/>
                <w:szCs w:val="21"/>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57" w:hRule="atLeast"/>
          <w:jc w:val="center"/>
        </w:trPr>
        <w:tc>
          <w:tcPr>
            <w:tcW w:w="1208" w:type="dxa"/>
            <w:vMerge w:val="restart"/>
            <w:shd w:val="clear" w:color="auto" w:fill="FFFFFF"/>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商务部分</w:t>
            </w:r>
          </w:p>
        </w:tc>
        <w:tc>
          <w:tcPr>
            <w:tcW w:w="718"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投标人服务能力</w:t>
            </w:r>
          </w:p>
        </w:tc>
        <w:tc>
          <w:tcPr>
            <w:tcW w:w="6160" w:type="dxa"/>
            <w:shd w:val="clear" w:color="auto" w:fill="FFFFFF"/>
            <w:vAlign w:val="center"/>
          </w:tcPr>
          <w:p>
            <w:pPr>
              <w:adjustRightInd w:val="0"/>
              <w:snapToGrid w:val="0"/>
              <w:spacing w:before="156" w:beforeLines="50" w:after="156" w:afterLines="50"/>
              <w:rPr>
                <w:rFonts w:hint="eastAsia" w:ascii="宋体" w:hAnsi="宋体" w:cs="宋体"/>
                <w:sz w:val="21"/>
                <w:szCs w:val="21"/>
              </w:rPr>
            </w:pPr>
            <w:r>
              <w:rPr>
                <w:rFonts w:hint="eastAsia" w:ascii="宋体" w:hAnsi="宋体" w:cs="宋体"/>
                <w:sz w:val="21"/>
                <w:szCs w:val="21"/>
              </w:rPr>
              <w:t>拟投入的人员配备情况：</w:t>
            </w:r>
          </w:p>
          <w:p>
            <w:pPr>
              <w:adjustRightInd w:val="0"/>
              <w:snapToGrid w:val="0"/>
              <w:spacing w:before="156" w:beforeLines="50" w:after="156" w:afterLines="50"/>
              <w:rPr>
                <w:rFonts w:hint="eastAsia" w:ascii="宋体" w:hAnsi="宋体" w:cs="宋体"/>
                <w:sz w:val="21"/>
                <w:szCs w:val="21"/>
              </w:rPr>
            </w:pPr>
            <w:r>
              <w:rPr>
                <w:rFonts w:hint="eastAsia" w:ascii="宋体" w:hAnsi="宋体" w:cs="宋体"/>
                <w:sz w:val="21"/>
                <w:szCs w:val="21"/>
              </w:rPr>
              <w:t>1、项目总负责人具有信息工程类高级工程师证书 (提供职称证书复印件)且本单位工作年限不低于10年，且承担过同类系统软件开发经验(提供项目履历及相关项目合同材料)，得4分</w:t>
            </w:r>
          </w:p>
          <w:p>
            <w:pPr>
              <w:adjustRightInd w:val="0"/>
              <w:snapToGrid w:val="0"/>
              <w:spacing w:before="156" w:beforeLines="50" w:after="156" w:afterLines="50"/>
              <w:rPr>
                <w:rFonts w:hint="eastAsia" w:ascii="宋体" w:hAnsi="宋体" w:cs="宋体"/>
                <w:sz w:val="21"/>
                <w:szCs w:val="21"/>
              </w:rPr>
            </w:pPr>
            <w:r>
              <w:rPr>
                <w:rFonts w:hint="eastAsia" w:ascii="宋体" w:hAnsi="宋体" w:cs="宋体"/>
                <w:sz w:val="21"/>
                <w:szCs w:val="21"/>
              </w:rPr>
              <w:t>2、技术负责人具有高级专业技术资格证书(提供证书复印件)且本单位工作年限不低于10年，且承担过同类系统软件开发经验(提供项目履历及相关项目合同材料)，得3分；</w:t>
            </w:r>
          </w:p>
          <w:p>
            <w:pPr>
              <w:adjustRightInd w:val="0"/>
              <w:snapToGrid w:val="0"/>
              <w:spacing w:before="156" w:beforeLines="50" w:after="156" w:afterLines="50"/>
              <w:rPr>
                <w:rFonts w:hint="eastAsia" w:ascii="宋体" w:hAnsi="宋体" w:cs="宋体"/>
                <w:b/>
                <w:bCs/>
                <w:sz w:val="21"/>
                <w:szCs w:val="21"/>
              </w:rPr>
            </w:pPr>
            <w:r>
              <w:rPr>
                <w:rFonts w:hint="eastAsia" w:ascii="宋体" w:hAnsi="宋体" w:cs="宋体"/>
                <w:sz w:val="21"/>
                <w:szCs w:val="21"/>
              </w:rPr>
              <w:t>3、项目团队其他成员：具有教育技术相关专业硕士及以上学历证书，不少于3人，且具有本公司10年（含）以上工作经验，需要提供公司为该人员缴纳的10年以上的社保证明，本项最高得分3分(提供成员证书复印件，及本单位为其缴纳的社保缴纳证明)</w:t>
            </w:r>
          </w:p>
        </w:tc>
        <w:tc>
          <w:tcPr>
            <w:tcW w:w="1134"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cs="宋体"/>
                <w:sz w:val="21"/>
                <w:szCs w:val="21"/>
              </w:rPr>
            </w:pPr>
          </w:p>
          <w:p>
            <w:pPr>
              <w:adjustRightInd w:val="0"/>
              <w:snapToGrid w:val="0"/>
              <w:spacing w:before="156" w:beforeLines="50" w:after="156" w:afterLines="50"/>
              <w:jc w:val="center"/>
              <w:rPr>
                <w:rFonts w:hint="eastAsia" w:ascii="宋体" w:hAnsi="宋体" w:eastAsia="宋体" w:cs="宋体"/>
                <w:sz w:val="21"/>
                <w:szCs w:val="21"/>
                <w:lang w:eastAsia="zh-CN"/>
              </w:rPr>
            </w:pPr>
            <w:r>
              <w:rPr>
                <w:rFonts w:hint="eastAsia" w:ascii="宋体" w:hAnsi="宋体" w:cs="宋体"/>
                <w:sz w:val="21"/>
                <w:szCs w:val="21"/>
              </w:rPr>
              <w:t>1</w:t>
            </w:r>
            <w:r>
              <w:rPr>
                <w:rFonts w:hint="eastAsia" w:ascii="宋体" w:hAnsi="宋体" w:cs="宋体"/>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57" w:hRule="atLeast"/>
          <w:jc w:val="center"/>
        </w:trPr>
        <w:tc>
          <w:tcPr>
            <w:tcW w:w="1208" w:type="dxa"/>
            <w:vMerge w:val="continue"/>
            <w:shd w:val="clear" w:color="auto" w:fill="FFFFFF"/>
            <w:vAlign w:val="center"/>
          </w:tcPr>
          <w:p>
            <w:pPr>
              <w:adjustRightInd w:val="0"/>
              <w:snapToGrid w:val="0"/>
              <w:spacing w:before="156" w:beforeLines="50" w:after="156" w:afterLines="50"/>
              <w:jc w:val="center"/>
              <w:rPr>
                <w:rFonts w:hint="eastAsia" w:ascii="宋体" w:hAnsi="宋体" w:cs="宋体"/>
                <w:b/>
                <w:sz w:val="21"/>
                <w:szCs w:val="21"/>
              </w:rPr>
            </w:pPr>
          </w:p>
        </w:tc>
        <w:tc>
          <w:tcPr>
            <w:tcW w:w="718" w:type="dxa"/>
            <w:shd w:val="clear" w:color="auto" w:fill="FFFFFF"/>
            <w:vAlign w:val="center"/>
          </w:tcPr>
          <w:p>
            <w:pPr>
              <w:adjustRightInd w:val="0"/>
              <w:snapToGrid w:val="0"/>
              <w:spacing w:before="156" w:beforeLines="50" w:after="156" w:afterLines="50"/>
              <w:rPr>
                <w:rFonts w:hint="eastAsia" w:ascii="宋体" w:hAnsi="宋体" w:cs="宋体"/>
                <w:sz w:val="21"/>
                <w:szCs w:val="21"/>
              </w:rPr>
            </w:pPr>
            <w:r>
              <w:rPr>
                <w:rFonts w:hint="eastAsia" w:ascii="宋体" w:hAnsi="宋体" w:cs="宋体"/>
                <w:sz w:val="21"/>
                <w:szCs w:val="21"/>
                <w:lang w:eastAsia="zh-Hans"/>
              </w:rPr>
              <w:t>投标人</w:t>
            </w:r>
            <w:r>
              <w:rPr>
                <w:rFonts w:hint="eastAsia" w:ascii="宋体" w:hAnsi="宋体" w:cs="宋体"/>
                <w:sz w:val="21"/>
                <w:szCs w:val="21"/>
              </w:rPr>
              <w:t>履约能力</w:t>
            </w:r>
          </w:p>
        </w:tc>
        <w:tc>
          <w:tcPr>
            <w:tcW w:w="6160" w:type="dxa"/>
            <w:shd w:val="clear" w:color="auto" w:fill="FFFFFF"/>
            <w:vAlign w:val="center"/>
          </w:tcPr>
          <w:p>
            <w:pPr>
              <w:adjustRightInd w:val="0"/>
              <w:snapToGrid w:val="0"/>
              <w:spacing w:before="156" w:beforeLines="50" w:after="156" w:afterLines="50"/>
              <w:rPr>
                <w:rFonts w:hint="eastAsia" w:ascii="宋体" w:hAnsi="宋体" w:cs="宋体"/>
                <w:sz w:val="21"/>
                <w:szCs w:val="21"/>
              </w:rPr>
            </w:pPr>
            <w:r>
              <w:rPr>
                <w:rFonts w:hint="eastAsia" w:ascii="宋体" w:hAnsi="宋体" w:cs="宋体"/>
                <w:sz w:val="21"/>
                <w:szCs w:val="21"/>
              </w:rPr>
              <w:t>1、投标人同时拥有ISO9001标准质量管理体系认证证书</w:t>
            </w:r>
            <w:r>
              <w:rPr>
                <w:rFonts w:hint="eastAsia" w:ascii="宋体" w:hAnsi="宋体" w:cs="宋体"/>
                <w:sz w:val="21"/>
                <w:szCs w:val="21"/>
                <w:lang w:eastAsia="zh-Hans"/>
              </w:rPr>
              <w:t>和</w:t>
            </w:r>
            <w:r>
              <w:rPr>
                <w:rFonts w:hint="eastAsia" w:ascii="宋体" w:hAnsi="宋体" w:cs="宋体"/>
                <w:sz w:val="21"/>
                <w:szCs w:val="21"/>
              </w:rPr>
              <w:t>ISO27000信息安全管理体系认证，得5分；</w:t>
            </w:r>
            <w:r>
              <w:rPr>
                <w:rFonts w:hint="eastAsia" w:ascii="宋体" w:hAnsi="宋体" w:cs="宋体"/>
                <w:sz w:val="21"/>
                <w:szCs w:val="21"/>
                <w:lang w:eastAsia="zh-Hans"/>
              </w:rPr>
              <w:t>不满足者不得分</w:t>
            </w:r>
          </w:p>
          <w:p>
            <w:pPr>
              <w:adjustRightInd w:val="0"/>
              <w:snapToGrid w:val="0"/>
              <w:spacing w:before="156" w:beforeLines="50" w:after="156" w:afterLines="50" w:line="360" w:lineRule="auto"/>
              <w:ind w:left="0" w:firstLine="0" w:firstLineChars="0"/>
              <w:jc w:val="left"/>
              <w:rPr>
                <w:rFonts w:hint="eastAsia" w:ascii="宋体" w:hAnsi="宋体" w:eastAsia="宋体" w:cs="宋体"/>
                <w:szCs w:val="21"/>
              </w:rPr>
            </w:pPr>
            <w:r>
              <w:rPr>
                <w:rFonts w:hint="eastAsia" w:ascii="宋体" w:hAnsi="宋体" w:eastAsia="宋体" w:cs="宋体"/>
                <w:szCs w:val="21"/>
              </w:rPr>
              <w:t>2.投标人提供AAA级企业信用等级证书复印件加盖投标人公章，得5分；</w:t>
            </w:r>
          </w:p>
          <w:p>
            <w:pPr>
              <w:adjustRightInd w:val="0"/>
              <w:snapToGrid w:val="0"/>
              <w:spacing w:before="156" w:beforeLines="50" w:after="156" w:afterLines="50" w:line="360" w:lineRule="auto"/>
              <w:ind w:left="0" w:firstLine="0" w:firstLineChars="0"/>
              <w:jc w:val="left"/>
              <w:rPr>
                <w:rFonts w:hint="eastAsia" w:ascii="宋体" w:hAnsi="宋体" w:eastAsia="宋体" w:cs="宋体"/>
                <w:szCs w:val="21"/>
              </w:rPr>
            </w:pPr>
            <w:r>
              <w:rPr>
                <w:rFonts w:ascii="宋体" w:hAnsi="宋体" w:eastAsia="宋体" w:cs="宋体"/>
                <w:szCs w:val="21"/>
              </w:rPr>
              <w:t>3</w:t>
            </w:r>
            <w:r>
              <w:rPr>
                <w:rFonts w:hint="eastAsia" w:ascii="宋体" w:hAnsi="宋体" w:eastAsia="宋体" w:cs="宋体"/>
                <w:szCs w:val="21"/>
              </w:rPr>
              <w:t>.投标人的教育系统软件获取公安机关信息系统安全等级三级保护备案证明，复印件加盖投标人公章，得5分。</w:t>
            </w:r>
          </w:p>
          <w:p>
            <w:pPr>
              <w:adjustRightInd w:val="0"/>
              <w:snapToGrid w:val="0"/>
              <w:spacing w:before="156" w:beforeLines="50" w:after="156" w:afterLines="50" w:line="360" w:lineRule="auto"/>
              <w:ind w:left="0" w:firstLine="0" w:firstLineChars="0"/>
              <w:jc w:val="left"/>
              <w:rPr>
                <w:rFonts w:hint="eastAsia" w:ascii="宋体" w:hAnsi="宋体" w:eastAsia="宋体" w:cs="宋体"/>
                <w:b/>
                <w:bCs/>
                <w:szCs w:val="21"/>
              </w:rPr>
            </w:pPr>
            <w:r>
              <w:rPr>
                <w:rFonts w:ascii="宋体" w:hAnsi="宋体" w:eastAsia="宋体" w:cs="宋体"/>
                <w:szCs w:val="21"/>
              </w:rPr>
              <w:t>4</w:t>
            </w:r>
            <w:r>
              <w:rPr>
                <w:rFonts w:hint="eastAsia" w:ascii="宋体" w:hAnsi="宋体" w:eastAsia="宋体" w:cs="宋体"/>
                <w:szCs w:val="21"/>
              </w:rPr>
              <w:t>.投标人具有通用教育系统、多媒体远程教育通用系统、通用考试系统等软件著作权，每提供一个得2分，此项最多可以得10分。</w:t>
            </w:r>
          </w:p>
        </w:tc>
        <w:tc>
          <w:tcPr>
            <w:tcW w:w="1134" w:type="dxa"/>
            <w:shd w:val="clear" w:color="auto" w:fill="FFFFFF"/>
            <w:vAlign w:val="center"/>
          </w:tcPr>
          <w:p>
            <w:pPr>
              <w:adjustRightInd w:val="0"/>
              <w:snapToGrid w:val="0"/>
              <w:spacing w:before="156" w:beforeLines="50" w:after="156" w:afterLines="50"/>
              <w:jc w:val="center"/>
              <w:rPr>
                <w:rFonts w:ascii="宋体" w:hAnsi="宋体" w:cs="宋体"/>
                <w:sz w:val="21"/>
                <w:szCs w:val="21"/>
              </w:rPr>
            </w:pPr>
            <w:r>
              <w:rPr>
                <w:rFonts w:hint="eastAsia" w:ascii="宋体" w:hAnsi="宋体" w:cs="宋体"/>
                <w:sz w:val="21"/>
                <w:szCs w:val="2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32" w:hRule="atLeast"/>
          <w:jc w:val="center"/>
        </w:trPr>
        <w:tc>
          <w:tcPr>
            <w:tcW w:w="1208" w:type="dxa"/>
            <w:vMerge w:val="restart"/>
            <w:shd w:val="clear" w:color="auto" w:fill="FFFFFF"/>
            <w:vAlign w:val="center"/>
          </w:tcPr>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技术</w:t>
            </w:r>
          </w:p>
          <w:p>
            <w:pPr>
              <w:adjustRightInd w:val="0"/>
              <w:snapToGrid w:val="0"/>
              <w:spacing w:before="156" w:beforeLines="50" w:after="156" w:afterLines="50"/>
              <w:jc w:val="center"/>
              <w:rPr>
                <w:rFonts w:hint="eastAsia" w:ascii="宋体" w:hAnsi="宋体" w:cs="宋体"/>
                <w:b/>
                <w:sz w:val="21"/>
                <w:szCs w:val="21"/>
              </w:rPr>
            </w:pPr>
            <w:r>
              <w:rPr>
                <w:rFonts w:hint="eastAsia" w:ascii="宋体" w:hAnsi="宋体" w:cs="宋体"/>
                <w:b/>
                <w:sz w:val="21"/>
                <w:szCs w:val="21"/>
              </w:rPr>
              <w:t>部分</w:t>
            </w:r>
          </w:p>
        </w:tc>
        <w:tc>
          <w:tcPr>
            <w:tcW w:w="718"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技术需求响应</w:t>
            </w:r>
          </w:p>
        </w:tc>
        <w:tc>
          <w:tcPr>
            <w:tcW w:w="6160" w:type="dxa"/>
            <w:shd w:val="clear" w:color="auto" w:fill="FFFFFF"/>
            <w:vAlign w:val="center"/>
          </w:tcPr>
          <w:p>
            <w:pPr>
              <w:adjustRightInd w:val="0"/>
              <w:snapToGrid w:val="0"/>
              <w:spacing w:before="156" w:beforeLines="50" w:after="156" w:afterLines="50" w:line="360" w:lineRule="auto"/>
              <w:ind w:left="0" w:firstLine="0" w:firstLineChars="0"/>
              <w:jc w:val="left"/>
              <w:rPr>
                <w:rFonts w:hint="eastAsia" w:ascii="宋体" w:hAnsi="宋体" w:eastAsia="宋体" w:cs="宋体"/>
                <w:szCs w:val="21"/>
                <w:lang w:eastAsia="zh-Hans"/>
              </w:rPr>
            </w:pPr>
            <w:r>
              <w:rPr>
                <w:rFonts w:hint="eastAsia" w:ascii="宋体" w:hAnsi="宋体" w:eastAsia="宋体" w:cs="宋体"/>
                <w:szCs w:val="21"/>
              </w:rPr>
              <w:t>按照采购要求</w:t>
            </w:r>
            <w:r>
              <w:rPr>
                <w:rFonts w:hint="eastAsia" w:ascii="宋体" w:hAnsi="宋体" w:eastAsia="宋体" w:cs="宋体"/>
                <w:szCs w:val="21"/>
                <w:lang w:eastAsia="zh-Hans"/>
              </w:rPr>
              <w:t>提供的</w:t>
            </w:r>
            <w:r>
              <w:rPr>
                <w:rFonts w:hint="eastAsia" w:ascii="宋体" w:hAnsi="宋体" w:eastAsia="宋体" w:cs="宋体"/>
                <w:szCs w:val="21"/>
              </w:rPr>
              <w:t>相关服务及内容</w:t>
            </w:r>
            <w:r>
              <w:rPr>
                <w:rFonts w:hint="eastAsia" w:ascii="宋体" w:hAnsi="宋体" w:eastAsia="宋体" w:cs="宋体"/>
                <w:szCs w:val="21"/>
                <w:lang w:eastAsia="zh-Hans"/>
              </w:rPr>
              <w:t>，对招标要求各</w:t>
            </w:r>
            <w:r>
              <w:rPr>
                <w:rFonts w:hint="eastAsia" w:ascii="宋体" w:hAnsi="宋体" w:eastAsia="宋体" w:cs="宋体"/>
                <w:szCs w:val="21"/>
              </w:rPr>
              <w:t>要求</w:t>
            </w:r>
            <w:r>
              <w:rPr>
                <w:rFonts w:hint="eastAsia" w:ascii="宋体" w:hAnsi="宋体" w:eastAsia="宋体" w:cs="宋体"/>
                <w:szCs w:val="21"/>
                <w:lang w:eastAsia="zh-Hans"/>
              </w:rPr>
              <w:t>点响应全面，方案完善且符合采购人实际业务需求的，</w:t>
            </w:r>
            <w:r>
              <w:rPr>
                <w:rFonts w:hint="eastAsia" w:ascii="宋体" w:hAnsi="宋体" w:eastAsia="宋体" w:cs="宋体"/>
                <w:szCs w:val="21"/>
              </w:rPr>
              <w:t>最高得</w:t>
            </w:r>
            <w:r>
              <w:rPr>
                <w:rFonts w:hint="eastAsia" w:ascii="宋体" w:hAnsi="宋体" w:cs="宋体"/>
                <w:szCs w:val="21"/>
                <w:lang w:val="en-US" w:eastAsia="zh-CN"/>
              </w:rPr>
              <w:t>25</w:t>
            </w:r>
            <w:r>
              <w:rPr>
                <w:rFonts w:hint="eastAsia" w:ascii="宋体" w:hAnsi="宋体" w:eastAsia="宋体" w:cs="宋体"/>
                <w:szCs w:val="21"/>
                <w:lang w:eastAsia="zh-Hans"/>
              </w:rPr>
              <w:t>分。</w:t>
            </w:r>
          </w:p>
          <w:p>
            <w:pPr>
              <w:adjustRightInd w:val="0"/>
              <w:snapToGrid w:val="0"/>
              <w:spacing w:before="156" w:beforeLines="50" w:after="156" w:afterLines="50" w:line="360" w:lineRule="auto"/>
              <w:ind w:left="0" w:firstLine="0" w:firstLineChars="0"/>
              <w:jc w:val="left"/>
              <w:rPr>
                <w:rFonts w:hint="eastAsia" w:ascii="宋体" w:hAnsi="宋体" w:eastAsia="宋体" w:cs="宋体"/>
                <w:szCs w:val="21"/>
                <w:lang w:eastAsia="zh-Hans"/>
              </w:rPr>
            </w:pPr>
            <w:r>
              <w:rPr>
                <w:rFonts w:hint="eastAsia" w:ascii="宋体" w:hAnsi="宋体" w:eastAsia="宋体" w:cs="宋体"/>
                <w:szCs w:val="21"/>
                <w:lang w:eastAsia="zh-Hans"/>
              </w:rPr>
              <w:t>存在负偏离条款的，每项扣</w:t>
            </w:r>
            <w:r>
              <w:rPr>
                <w:rFonts w:ascii="宋体" w:hAnsi="宋体" w:eastAsia="宋体" w:cs="宋体"/>
                <w:szCs w:val="21"/>
                <w:lang w:eastAsia="zh-Hans"/>
              </w:rPr>
              <w:t>5</w:t>
            </w:r>
            <w:r>
              <w:rPr>
                <w:rFonts w:hint="eastAsia" w:ascii="宋体" w:hAnsi="宋体" w:eastAsia="宋体" w:cs="宋体"/>
                <w:szCs w:val="21"/>
                <w:lang w:eastAsia="zh-Hans"/>
              </w:rPr>
              <w:t>分，扣至0分为止。</w:t>
            </w:r>
          </w:p>
        </w:tc>
        <w:tc>
          <w:tcPr>
            <w:tcW w:w="1134"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6" w:hRule="atLeast"/>
          <w:jc w:val="center"/>
        </w:trPr>
        <w:tc>
          <w:tcPr>
            <w:tcW w:w="1208" w:type="dxa"/>
            <w:vMerge w:val="continue"/>
            <w:shd w:val="clear" w:color="auto" w:fill="FFFFFF"/>
            <w:vAlign w:val="center"/>
          </w:tcPr>
          <w:p>
            <w:pPr>
              <w:adjustRightInd w:val="0"/>
              <w:snapToGrid w:val="0"/>
              <w:spacing w:before="156" w:beforeLines="50" w:after="156" w:afterLines="50"/>
              <w:jc w:val="center"/>
              <w:rPr>
                <w:rFonts w:hint="eastAsia" w:ascii="宋体" w:hAnsi="宋体" w:cs="宋体"/>
                <w:b/>
                <w:sz w:val="21"/>
                <w:szCs w:val="21"/>
              </w:rPr>
            </w:pPr>
          </w:p>
        </w:tc>
        <w:tc>
          <w:tcPr>
            <w:tcW w:w="718"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实施方案</w:t>
            </w:r>
          </w:p>
        </w:tc>
        <w:tc>
          <w:tcPr>
            <w:tcW w:w="6160" w:type="dxa"/>
            <w:shd w:val="clear" w:color="auto" w:fill="FFFFFF"/>
            <w:vAlign w:val="center"/>
          </w:tcPr>
          <w:p>
            <w:pPr>
              <w:adjustRightInd w:val="0"/>
              <w:snapToGrid w:val="0"/>
              <w:spacing w:before="156" w:beforeLines="50" w:after="156" w:afterLines="50" w:line="360" w:lineRule="auto"/>
              <w:ind w:left="0" w:firstLine="0" w:firstLineChars="0"/>
              <w:jc w:val="left"/>
              <w:rPr>
                <w:rFonts w:hint="eastAsia" w:ascii="宋体" w:hAnsi="宋体" w:eastAsia="宋体" w:cs="宋体"/>
                <w:szCs w:val="21"/>
                <w:lang w:eastAsia="zh-Hans"/>
              </w:rPr>
            </w:pPr>
            <w:r>
              <w:rPr>
                <w:rFonts w:hint="eastAsia" w:ascii="宋体" w:hAnsi="宋体" w:eastAsia="宋体" w:cs="宋体"/>
                <w:szCs w:val="21"/>
                <w:lang w:eastAsia="zh-Hans"/>
              </w:rPr>
              <w:t>主要从项目实施组织管理流程、项目进度、测试</w:t>
            </w:r>
            <w:r>
              <w:rPr>
                <w:rFonts w:hint="eastAsia" w:ascii="宋体" w:hAnsi="宋体" w:eastAsia="宋体" w:cs="宋体"/>
                <w:szCs w:val="21"/>
              </w:rPr>
              <w:t>调试</w:t>
            </w:r>
            <w:r>
              <w:rPr>
                <w:rFonts w:hint="eastAsia" w:ascii="宋体" w:hAnsi="宋体" w:eastAsia="宋体" w:cs="宋体"/>
                <w:szCs w:val="21"/>
                <w:lang w:eastAsia="zh-Hans"/>
              </w:rPr>
              <w:t>、</w:t>
            </w:r>
            <w:r>
              <w:rPr>
                <w:rFonts w:hint="eastAsia" w:ascii="宋体" w:hAnsi="宋体" w:eastAsia="宋体" w:cs="宋体"/>
                <w:szCs w:val="21"/>
              </w:rPr>
              <w:t>出现</w:t>
            </w:r>
            <w:r>
              <w:rPr>
                <w:rFonts w:hint="eastAsia" w:ascii="宋体" w:hAnsi="宋体" w:eastAsia="宋体" w:cs="宋体"/>
                <w:szCs w:val="21"/>
                <w:lang w:eastAsia="zh-Hans"/>
              </w:rPr>
              <w:t>故障时的应急预案、与相关单位的协作衔接等方面进行评定。根据招标文件的需求和投标文件响应情况进行横向比较。</w:t>
            </w:r>
          </w:p>
          <w:p>
            <w:pPr>
              <w:adjustRightInd w:val="0"/>
              <w:snapToGrid w:val="0"/>
              <w:spacing w:before="156" w:beforeLines="50" w:after="156" w:afterLines="50"/>
              <w:rPr>
                <w:rFonts w:hint="eastAsia" w:ascii="宋体" w:hAnsi="宋体" w:cs="宋体"/>
                <w:sz w:val="21"/>
                <w:szCs w:val="21"/>
              </w:rPr>
            </w:pPr>
            <w:r>
              <w:rPr>
                <w:rFonts w:hint="eastAsia" w:ascii="宋体" w:hAnsi="宋体" w:cs="宋体"/>
                <w:sz w:val="21"/>
                <w:szCs w:val="21"/>
                <w:lang w:eastAsia="zh-Hans"/>
              </w:rPr>
              <w:t>优：</w:t>
            </w:r>
            <w:r>
              <w:rPr>
                <w:rFonts w:hint="eastAsia" w:ascii="宋体" w:hAnsi="宋体" w:cs="宋体"/>
                <w:sz w:val="21"/>
                <w:szCs w:val="21"/>
              </w:rPr>
              <w:t>10</w:t>
            </w:r>
            <w:r>
              <w:rPr>
                <w:rFonts w:hint="eastAsia" w:ascii="宋体" w:hAnsi="宋体" w:cs="宋体"/>
                <w:sz w:val="21"/>
                <w:szCs w:val="21"/>
                <w:lang w:eastAsia="zh-Hans"/>
              </w:rPr>
              <w:t>分，良：</w:t>
            </w:r>
            <w:r>
              <w:rPr>
                <w:rFonts w:hint="eastAsia" w:ascii="宋体" w:hAnsi="宋体" w:cs="宋体"/>
                <w:sz w:val="21"/>
                <w:szCs w:val="21"/>
              </w:rPr>
              <w:t>10</w:t>
            </w:r>
            <w:r>
              <w:rPr>
                <w:rFonts w:hint="eastAsia" w:ascii="宋体" w:hAnsi="宋体" w:cs="宋体"/>
                <w:sz w:val="21"/>
                <w:szCs w:val="21"/>
                <w:lang w:eastAsia="zh-Hans"/>
              </w:rPr>
              <w:t>分，中：1分，差：0分。</w:t>
            </w:r>
          </w:p>
        </w:tc>
        <w:tc>
          <w:tcPr>
            <w:tcW w:w="1134"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6" w:hRule="atLeast"/>
          <w:jc w:val="center"/>
        </w:trPr>
        <w:tc>
          <w:tcPr>
            <w:tcW w:w="1208" w:type="dxa"/>
            <w:vMerge w:val="continue"/>
            <w:shd w:val="clear" w:color="auto" w:fill="FFFFFF"/>
            <w:vAlign w:val="center"/>
          </w:tcPr>
          <w:p>
            <w:pPr>
              <w:adjustRightInd w:val="0"/>
              <w:snapToGrid w:val="0"/>
              <w:spacing w:before="156" w:beforeLines="50" w:after="156" w:afterLines="50"/>
              <w:jc w:val="center"/>
              <w:rPr>
                <w:rFonts w:hint="eastAsia" w:ascii="宋体" w:hAnsi="宋体" w:cs="宋体"/>
                <w:b/>
                <w:sz w:val="21"/>
                <w:szCs w:val="21"/>
              </w:rPr>
            </w:pPr>
          </w:p>
        </w:tc>
        <w:tc>
          <w:tcPr>
            <w:tcW w:w="718"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质量保证措施及承诺</w:t>
            </w:r>
          </w:p>
        </w:tc>
        <w:tc>
          <w:tcPr>
            <w:tcW w:w="6160" w:type="dxa"/>
            <w:shd w:val="clear" w:color="auto" w:fill="FFFFFF"/>
            <w:vAlign w:val="center"/>
          </w:tcPr>
          <w:p>
            <w:pPr>
              <w:adjustRightInd w:val="0"/>
              <w:snapToGrid w:val="0"/>
              <w:spacing w:before="156" w:beforeLines="50" w:after="156" w:afterLines="50" w:line="360" w:lineRule="auto"/>
              <w:ind w:left="0" w:firstLine="0" w:firstLineChars="0"/>
              <w:jc w:val="left"/>
              <w:rPr>
                <w:rFonts w:hint="eastAsia" w:ascii="宋体" w:hAnsi="宋体" w:eastAsia="宋体" w:cs="宋体"/>
                <w:szCs w:val="21"/>
                <w:lang w:eastAsia="zh-Hans"/>
              </w:rPr>
            </w:pPr>
            <w:r>
              <w:rPr>
                <w:rFonts w:hint="eastAsia" w:ascii="宋体" w:hAnsi="宋体" w:eastAsia="宋体" w:cs="宋体"/>
                <w:szCs w:val="21"/>
                <w:lang w:eastAsia="zh-Hans"/>
              </w:rPr>
              <w:t>售后服务方案及承诺完全满足招标文件要求，售后服务体系完善，承诺服务内容优越，售后服务人员组织结构合理、维护体系健全，技术支持保障到位。根据售后服务方案及承诺响应情况进行横向比较。</w:t>
            </w:r>
          </w:p>
          <w:p>
            <w:pPr>
              <w:adjustRightInd w:val="0"/>
              <w:snapToGrid w:val="0"/>
              <w:spacing w:before="156" w:beforeLines="50" w:after="156" w:afterLines="50" w:line="360" w:lineRule="auto"/>
              <w:ind w:left="0" w:firstLine="0" w:firstLineChars="0"/>
              <w:jc w:val="left"/>
              <w:rPr>
                <w:rFonts w:hint="eastAsia" w:ascii="宋体" w:hAnsi="宋体" w:eastAsia="宋体" w:cs="宋体"/>
                <w:szCs w:val="21"/>
              </w:rPr>
            </w:pPr>
            <w:r>
              <w:rPr>
                <w:rFonts w:hint="eastAsia" w:ascii="宋体" w:hAnsi="宋体" w:eastAsia="宋体" w:cs="宋体"/>
                <w:szCs w:val="21"/>
                <w:lang w:eastAsia="zh-Hans"/>
              </w:rPr>
              <w:t>优：</w:t>
            </w:r>
            <w:r>
              <w:rPr>
                <w:rFonts w:hint="eastAsia" w:ascii="宋体" w:hAnsi="宋体" w:eastAsia="宋体" w:cs="宋体"/>
                <w:szCs w:val="21"/>
              </w:rPr>
              <w:t>15</w:t>
            </w:r>
            <w:r>
              <w:rPr>
                <w:rFonts w:hint="eastAsia" w:ascii="宋体" w:hAnsi="宋体" w:eastAsia="宋体" w:cs="宋体"/>
                <w:szCs w:val="21"/>
                <w:lang w:eastAsia="zh-Hans"/>
              </w:rPr>
              <w:t>分，良：</w:t>
            </w:r>
            <w:r>
              <w:rPr>
                <w:rFonts w:hint="eastAsia" w:ascii="宋体" w:hAnsi="宋体" w:eastAsia="宋体" w:cs="宋体"/>
                <w:szCs w:val="21"/>
              </w:rPr>
              <w:t>10</w:t>
            </w:r>
            <w:r>
              <w:rPr>
                <w:rFonts w:hint="eastAsia" w:ascii="宋体" w:hAnsi="宋体" w:eastAsia="宋体" w:cs="宋体"/>
                <w:szCs w:val="21"/>
                <w:lang w:eastAsia="zh-Hans"/>
              </w:rPr>
              <w:t>分，中：1分，差：0分。</w:t>
            </w:r>
          </w:p>
        </w:tc>
        <w:tc>
          <w:tcPr>
            <w:tcW w:w="1134"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15分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83" w:hRule="atLeast"/>
          <w:jc w:val="center"/>
        </w:trPr>
        <w:tc>
          <w:tcPr>
            <w:tcW w:w="8086" w:type="dxa"/>
            <w:gridSpan w:val="3"/>
            <w:shd w:val="clear" w:color="auto" w:fill="FFFFFF"/>
            <w:vAlign w:val="center"/>
          </w:tcPr>
          <w:p>
            <w:pPr>
              <w:adjustRightInd w:val="0"/>
              <w:snapToGrid w:val="0"/>
              <w:spacing w:before="156" w:beforeLines="50" w:after="156" w:afterLines="50"/>
              <w:rPr>
                <w:rFonts w:hint="eastAsia" w:ascii="宋体" w:hAnsi="宋体" w:cs="宋体"/>
                <w:sz w:val="21"/>
                <w:szCs w:val="21"/>
              </w:rPr>
            </w:pPr>
            <w:r>
              <w:rPr>
                <w:rFonts w:hint="eastAsia" w:ascii="宋体" w:hAnsi="宋体" w:cs="宋体"/>
                <w:b/>
                <w:sz w:val="21"/>
                <w:szCs w:val="21"/>
              </w:rPr>
              <w:t>总分</w:t>
            </w:r>
          </w:p>
        </w:tc>
        <w:tc>
          <w:tcPr>
            <w:tcW w:w="1134" w:type="dxa"/>
            <w:shd w:val="clear" w:color="auto" w:fill="FFFFFF"/>
            <w:vAlign w:val="center"/>
          </w:tcPr>
          <w:p>
            <w:pPr>
              <w:adjustRightInd w:val="0"/>
              <w:snapToGrid w:val="0"/>
              <w:spacing w:before="156" w:beforeLines="50" w:after="156" w:afterLines="50"/>
              <w:jc w:val="center"/>
              <w:rPr>
                <w:rFonts w:hint="eastAsia" w:ascii="宋体" w:hAnsi="宋体" w:cs="宋体"/>
                <w:sz w:val="21"/>
                <w:szCs w:val="21"/>
              </w:rPr>
            </w:pPr>
            <w:r>
              <w:rPr>
                <w:rFonts w:hint="eastAsia" w:ascii="宋体" w:hAnsi="宋体" w:cs="宋体"/>
                <w:sz w:val="21"/>
                <w:szCs w:val="21"/>
              </w:rPr>
              <w:t>100分</w:t>
            </w:r>
          </w:p>
        </w:tc>
      </w:tr>
    </w:tbl>
    <w:p>
      <w:pPr>
        <w:adjustRightInd w:val="0"/>
        <w:snapToGrid w:val="0"/>
        <w:spacing w:before="156" w:beforeLines="50" w:after="156" w:afterLines="50"/>
        <w:rPr>
          <w:rFonts w:hint="eastAsia" w:ascii="宋体" w:hAnsi="宋体" w:cs="宋体"/>
        </w:rPr>
      </w:pPr>
    </w:p>
    <w:p>
      <w:pPr>
        <w:pStyle w:val="3"/>
        <w:spacing w:line="460" w:lineRule="exact"/>
        <w:ind w:left="638" w:leftChars="304"/>
        <w:rPr>
          <w:rFonts w:hint="eastAsia" w:ascii="仿宋" w:hAnsi="仿宋" w:eastAsia="仿宋"/>
          <w:sz w:val="32"/>
          <w:szCs w:val="32"/>
          <w:lang w:eastAsia="zh-CN"/>
        </w:rPr>
      </w:pPr>
    </w:p>
    <w:p/>
    <w:sectPr>
      <w:footerReference r:id="rId3" w:type="even"/>
      <w:pgSz w:w="11906" w:h="16838"/>
      <w:pgMar w:top="1701" w:right="1417" w:bottom="1985" w:left="1417" w:header="851" w:footer="52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66</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23993"/>
    <w:rsid w:val="18123993"/>
    <w:rsid w:val="420A7C00"/>
    <w:rsid w:val="712162D3"/>
    <w:rsid w:val="79A81D21"/>
    <w:rsid w:val="7D96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99"/>
    <w:pPr>
      <w:keepNext/>
      <w:keepLines/>
      <w:spacing w:before="340" w:after="330" w:line="578" w:lineRule="auto"/>
      <w:jc w:val="center"/>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style>
  <w:style w:type="paragraph" w:styleId="4">
    <w:name w:val="footer"/>
    <w:basedOn w:val="1"/>
    <w:qFormat/>
    <w:uiPriority w:val="99"/>
    <w:pPr>
      <w:tabs>
        <w:tab w:val="center" w:pos="4153"/>
        <w:tab w:val="right" w:pos="8306"/>
      </w:tabs>
      <w:snapToGrid w:val="0"/>
      <w:jc w:val="left"/>
    </w:pPr>
    <w:rPr>
      <w:sz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2024-03-21T05:44:00Z</dcterms:created>
  <dc:creator>徐男男</dc:creator>
  <cp:lastModifiedBy>徐男男</cp:lastModifiedBy>
  <dcterms:modified xsi:type="dcterms:W3CDTF">2024-04-12T06:58:31Z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