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eastAsia="仿宋_GB2312"/>
          <w:b/>
          <w:sz w:val="72"/>
          <w:szCs w:val="72"/>
        </w:rPr>
      </w:pPr>
      <w:r>
        <w:rPr>
          <w:rFonts w:hint="eastAsia" w:eastAsia="仿宋_GB2312"/>
          <w:b/>
          <w:sz w:val="72"/>
          <w:szCs w:val="72"/>
        </w:rPr>
        <w:t>202</w:t>
      </w:r>
      <w:r>
        <w:rPr>
          <w:rFonts w:hint="eastAsia" w:eastAsia="仿宋_GB2312"/>
          <w:b/>
          <w:sz w:val="72"/>
          <w:szCs w:val="72"/>
          <w:lang w:val="en-US" w:eastAsia="zh-CN"/>
        </w:rPr>
        <w:t>3</w:t>
      </w:r>
      <w:r>
        <w:rPr>
          <w:rFonts w:hint="eastAsia" w:eastAsia="仿宋_GB2312"/>
          <w:b/>
          <w:sz w:val="72"/>
          <w:szCs w:val="72"/>
        </w:rPr>
        <w:t>世界机器人大会传播策划及内容制作服务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2023-043-00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rPr>
        <w:t>202</w:t>
      </w:r>
      <w:r>
        <w:rPr>
          <w:rFonts w:hint="eastAsia" w:eastAsia="仿宋_GB2312"/>
          <w:b/>
          <w:sz w:val="32"/>
          <w:szCs w:val="32"/>
          <w:lang w:val="en-US" w:eastAsia="zh-CN"/>
        </w:rPr>
        <w:t>3</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416780640"/>
      <w:bookmarkStart w:id="1" w:name="_Toc50018054"/>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bookmarkStart w:id="106" w:name="_GoBack"/>
      <w:bookmarkEnd w:id="106"/>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3</w:t>
      </w:r>
      <w:r>
        <w:rPr>
          <w:rFonts w:hint="eastAsia" w:eastAsia="仿宋_GB2312"/>
          <w:sz w:val="24"/>
          <w:u w:val="single"/>
        </w:rPr>
        <w:t>世界机器人大会传播策划及内容制作服务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3</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 xml:space="preserve">12 </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50017660"/>
      <w:bookmarkStart w:id="4" w:name="_Toc35393798"/>
      <w:bookmarkStart w:id="5" w:name="_Toc50017984"/>
      <w:bookmarkStart w:id="6" w:name="_Toc50018055"/>
      <w:bookmarkStart w:id="7" w:name="_Toc35393629"/>
      <w:bookmarkStart w:id="8" w:name="_Toc28359089"/>
      <w:bookmarkStart w:id="9" w:name="_Toc28359012"/>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2023-043-00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3</w:t>
      </w:r>
      <w:r>
        <w:rPr>
          <w:rFonts w:hint="eastAsia" w:eastAsia="仿宋_GB2312"/>
          <w:sz w:val="24"/>
        </w:rPr>
        <w:t>世界机器人大会传播策划及内容制作服务</w:t>
      </w:r>
    </w:p>
    <w:p>
      <w:pPr>
        <w:spacing w:line="360" w:lineRule="auto"/>
        <w:ind w:firstLine="480" w:firstLineChars="200"/>
        <w:rPr>
          <w:rFonts w:eastAsia="仿宋_GB2312"/>
          <w:sz w:val="24"/>
        </w:rPr>
      </w:pPr>
      <w:r>
        <w:rPr>
          <w:rFonts w:eastAsia="仿宋_GB2312"/>
          <w:sz w:val="24"/>
        </w:rPr>
        <w:t>预算金额：</w:t>
      </w:r>
      <w:r>
        <w:rPr>
          <w:rFonts w:hint="eastAsia" w:eastAsia="仿宋_GB2312"/>
          <w:sz w:val="24"/>
          <w:lang w:val="en-US" w:eastAsia="zh-CN"/>
        </w:rPr>
        <w:t>42</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世界机器人大会传播策划及内容制作服务，包含且不限于传播策划、稿件撰写、图文排版及制作、媒体联络沟通、现场组织等。</w:t>
            </w:r>
          </w:p>
          <w:p>
            <w:pPr>
              <w:spacing w:line="360" w:lineRule="auto"/>
              <w:ind w:firstLine="480" w:firstLineChars="200"/>
              <w:rPr>
                <w:rFonts w:hint="eastAsia" w:eastAsia="仿宋_GB2312"/>
                <w:sz w:val="24"/>
              </w:rPr>
            </w:pPr>
            <w:r>
              <w:rPr>
                <w:rFonts w:hint="eastAsia" w:eastAsia="仿宋_GB2312"/>
                <w:sz w:val="24"/>
              </w:rPr>
              <w:t>协助主办单位组织现场</w:t>
            </w:r>
            <w:r>
              <w:rPr>
                <w:rFonts w:hint="eastAsia" w:eastAsia="仿宋_GB2312"/>
                <w:sz w:val="24"/>
                <w:lang w:val="en-US" w:eastAsia="zh-CN"/>
              </w:rPr>
              <w:t>大会</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3</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15</w:t>
      </w:r>
      <w:r>
        <w:rPr>
          <w:rFonts w:hint="eastAsia" w:eastAsia="仿宋_GB2312"/>
          <w:sz w:val="24"/>
        </w:rPr>
        <w:t>日至20</w:t>
      </w:r>
      <w:r>
        <w:rPr>
          <w:rFonts w:hint="eastAsia" w:eastAsia="仿宋_GB2312"/>
          <w:sz w:val="24"/>
          <w:lang w:val="en-US" w:eastAsia="zh-CN"/>
        </w:rPr>
        <w:t>23</w:t>
      </w:r>
      <w:r>
        <w:rPr>
          <w:rFonts w:hint="eastAsia" w:eastAsia="仿宋_GB2312"/>
          <w:sz w:val="24"/>
        </w:rPr>
        <w:t>年</w:t>
      </w:r>
      <w:r>
        <w:rPr>
          <w:rFonts w:hint="eastAsia" w:eastAsia="仿宋_GB2312"/>
          <w:sz w:val="24"/>
          <w:lang w:val="en-US" w:eastAsia="zh-CN"/>
        </w:rPr>
        <w:t>9</w:t>
      </w:r>
      <w:r>
        <w:rPr>
          <w:rFonts w:hint="eastAsia" w:eastAsia="仿宋_GB2312"/>
          <w:sz w:val="24"/>
        </w:rPr>
        <w:t>月</w:t>
      </w:r>
      <w:r>
        <w:rPr>
          <w:rFonts w:hint="eastAsia" w:eastAsia="仿宋_GB2312"/>
          <w:sz w:val="24"/>
          <w:lang w:val="en-US" w:eastAsia="zh-CN"/>
        </w:rPr>
        <w:t>31</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13"/>
      <w:bookmarkStart w:id="11" w:name="_Toc50017661"/>
      <w:bookmarkStart w:id="12" w:name="_Toc35393630"/>
      <w:bookmarkStart w:id="13" w:name="_Toc35393799"/>
      <w:bookmarkStart w:id="14" w:name="_Toc50017985"/>
      <w:bookmarkStart w:id="15" w:name="_Toc50018056"/>
      <w:bookmarkStart w:id="16" w:name="_Toc2835909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14"/>
      <w:bookmarkStart w:id="18" w:name="_Toc35393631"/>
      <w:bookmarkStart w:id="19" w:name="_Toc28359091"/>
      <w:bookmarkStart w:id="20" w:name="_Toc35393800"/>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sz w:val="24"/>
          <w:u w:val="single"/>
        </w:rPr>
      </w:pPr>
      <w:r>
        <w:rPr>
          <w:rFonts w:eastAsia="仿宋_GB2312"/>
          <w:color w:val="auto"/>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28359092"/>
      <w:bookmarkStart w:id="25" w:name="_Toc35393632"/>
      <w:bookmarkStart w:id="26" w:name="_Toc35393801"/>
      <w:bookmarkStart w:id="27" w:name="_Toc28359015"/>
      <w:r>
        <w:rPr>
          <w:rFonts w:eastAsia="仿宋_GB2312"/>
          <w:sz w:val="24"/>
        </w:rPr>
        <w:t>时间：</w:t>
      </w:r>
      <w:r>
        <w:rPr>
          <w:rFonts w:hint="eastAsia" w:eastAsia="仿宋_GB2312"/>
          <w:sz w:val="24"/>
          <w:u w:val="single"/>
        </w:rPr>
        <w:t>20</w:t>
      </w:r>
      <w:r>
        <w:rPr>
          <w:rFonts w:hint="eastAsia" w:eastAsia="仿宋_GB2312"/>
          <w:sz w:val="24"/>
          <w:u w:val="single"/>
          <w:lang w:val="en-US" w:eastAsia="zh-CN"/>
        </w:rPr>
        <w:t>23</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10</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3</w:t>
      </w:r>
      <w:r>
        <w:rPr>
          <w:rFonts w:eastAsia="仿宋_GB2312"/>
          <w:sz w:val="24"/>
          <w:u w:val="single"/>
        </w:rPr>
        <w:t xml:space="preserve"> 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 xml:space="preserve">12 </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pPr>
        <w:spacing w:line="360" w:lineRule="auto"/>
        <w:ind w:firstLine="540"/>
        <w:rPr>
          <w:rFonts w:hint="default" w:eastAsia="仿宋_GB2312"/>
          <w:sz w:val="24"/>
          <w:u w:val="single"/>
          <w:lang w:val="en-US" w:eastAsia="zh-CN"/>
        </w:rPr>
      </w:pPr>
      <w:r>
        <w:rPr>
          <w:rFonts w:hint="eastAsia" w:eastAsia="仿宋_GB2312"/>
          <w:sz w:val="24"/>
          <w:lang w:val="en-US" w:eastAsia="zh-CN"/>
        </w:rPr>
        <w:t>获取方式</w:t>
      </w:r>
      <w:r>
        <w:rPr>
          <w:rFonts w:eastAsia="仿宋_GB2312"/>
          <w:sz w:val="24"/>
        </w:rPr>
        <w:t>：</w:t>
      </w:r>
      <w:r>
        <w:rPr>
          <w:rFonts w:hint="eastAsia" w:eastAsia="仿宋_GB2312"/>
          <w:sz w:val="24"/>
          <w:lang w:val="en-US" w:eastAsia="zh-CN"/>
        </w:rPr>
        <w:t>至</w:t>
      </w:r>
      <w:r>
        <w:rPr>
          <w:rFonts w:hint="eastAsia" w:eastAsia="仿宋_GB2312"/>
          <w:sz w:val="24"/>
        </w:rPr>
        <w:t>中国电子学会</w:t>
      </w:r>
      <w:r>
        <w:rPr>
          <w:rFonts w:hint="eastAsia" w:eastAsia="仿宋_GB2312"/>
          <w:sz w:val="24"/>
          <w:lang w:val="en-US" w:eastAsia="zh-CN"/>
        </w:rPr>
        <w:t>官方网站（https://www.cie.org.cn/）下载</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8058"/>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3</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12</w:t>
      </w:r>
      <w:r>
        <w:rPr>
          <w:rFonts w:eastAsia="仿宋_GB2312"/>
          <w:bCs/>
          <w:sz w:val="24"/>
          <w:u w:val="single"/>
        </w:rPr>
        <w:t xml:space="preserve">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28359016"/>
      <w:bookmarkStart w:id="32" w:name="_Toc35393633"/>
      <w:bookmarkStart w:id="33" w:name="_Toc35393802"/>
      <w:bookmarkStart w:id="34" w:name="_Toc28359093"/>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8059"/>
      <w:bookmarkStart w:id="36" w:name="_Toc50017664"/>
      <w:bookmarkStart w:id="37" w:name="_Toc50017988"/>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3</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14</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803"/>
      <w:bookmarkStart w:id="39" w:name="_Toc50018060"/>
      <w:bookmarkStart w:id="40" w:name="_Toc50017665"/>
      <w:bookmarkStart w:id="41" w:name="_Toc28359017"/>
      <w:bookmarkStart w:id="42" w:name="_Toc50017989"/>
      <w:bookmarkStart w:id="43" w:name="_Toc28359094"/>
      <w:bookmarkStart w:id="44" w:name="_Toc35393634"/>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w:t>
      </w:r>
      <w:r>
        <w:rPr>
          <w:rFonts w:hint="eastAsia" w:eastAsia="仿宋_GB2312"/>
          <w:kern w:val="0"/>
          <w:sz w:val="24"/>
          <w:lang w:val="en-US" w:eastAsia="zh-CN"/>
        </w:rPr>
        <w:t>个工作</w:t>
      </w:r>
      <w:r>
        <w:rPr>
          <w:rFonts w:eastAsia="仿宋_GB2312"/>
          <w:kern w:val="0"/>
          <w:sz w:val="24"/>
        </w:rPr>
        <w:t>日。</w:t>
      </w:r>
    </w:p>
    <w:p>
      <w:pPr>
        <w:pStyle w:val="3"/>
        <w:numPr>
          <w:ilvl w:val="0"/>
          <w:numId w:val="0"/>
        </w:numPr>
        <w:tabs>
          <w:tab w:val="clear" w:pos="567"/>
        </w:tabs>
        <w:spacing w:before="0" w:after="0" w:line="360" w:lineRule="auto"/>
        <w:ind w:left="567" w:hanging="567"/>
        <w:rPr>
          <w:rFonts w:eastAsia="仿宋_GB2312"/>
          <w:sz w:val="24"/>
        </w:rPr>
      </w:pPr>
      <w:bookmarkStart w:id="45" w:name="_Toc35393804"/>
      <w:bookmarkStart w:id="46" w:name="_Toc50017990"/>
      <w:bookmarkStart w:id="47" w:name="_Toc35393635"/>
      <w:bookmarkStart w:id="48" w:name="_Toc50018061"/>
      <w:bookmarkStart w:id="49" w:name="_Toc50017666"/>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35393636"/>
      <w:bookmarkStart w:id="51" w:name="_Toc35393805"/>
      <w:bookmarkStart w:id="52" w:name="_Toc28359095"/>
      <w:bookmarkStart w:id="53" w:name="_Toc50017667"/>
      <w:bookmarkStart w:id="54" w:name="_Toc50017991"/>
      <w:bookmarkStart w:id="55" w:name="_Toc50018062"/>
      <w:bookmarkStart w:id="56" w:name="_Toc28359018"/>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35393637"/>
      <w:bookmarkStart w:id="58" w:name="_Toc50017668"/>
      <w:bookmarkStart w:id="59" w:name="_Toc28359096"/>
      <w:bookmarkStart w:id="60" w:name="_Toc50017992"/>
      <w:bookmarkStart w:id="61" w:name="_Toc35393806"/>
      <w:bookmarkStart w:id="62" w:name="_Toc50018063"/>
      <w:bookmarkStart w:id="63" w:name="_Toc28359019"/>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28359021"/>
      <w:bookmarkStart w:id="65" w:name="_Toc35393639"/>
      <w:bookmarkStart w:id="66" w:name="_Toc50017669"/>
      <w:bookmarkStart w:id="67" w:name="_Toc35393808"/>
      <w:bookmarkStart w:id="68" w:name="_Toc28359098"/>
      <w:bookmarkStart w:id="69" w:name="_Toc50017993"/>
      <w:bookmarkStart w:id="70" w:name="_Toc50018064"/>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default" w:eastAsia="仿宋_GB2312"/>
          <w:sz w:val="24"/>
          <w:lang w:val="en-US"/>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50018065"/>
      <w:bookmarkStart w:id="72" w:name="_Toc416780641"/>
      <w:bookmarkStart w:id="73" w:name="_Toc417049114"/>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42</w:t>
            </w:r>
            <w:r>
              <w:rPr>
                <w:rFonts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3</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lang w:val="en-US" w:eastAsia="zh-CN"/>
              </w:rPr>
              <w:t>14</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416780673"/>
      <w:bookmarkStart w:id="75" w:name="_Toc417049146"/>
      <w:bookmarkStart w:id="76" w:name="_Toc5001806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p>
      <w:pPr>
        <w:spacing w:line="360" w:lineRule="auto"/>
        <w:jc w:val="center"/>
        <w:rPr>
          <w:rFonts w:eastAsia="仿宋_GB2312"/>
          <w:b/>
          <w:bCs/>
          <w:sz w:val="24"/>
        </w:rPr>
      </w:pPr>
      <w:r>
        <w:rPr>
          <w:rFonts w:eastAsia="仿宋_GB2312"/>
          <w:b/>
          <w:bCs/>
          <w:sz w:val="24"/>
        </w:rPr>
        <w:t>采购内容及要求</w:t>
      </w:r>
    </w:p>
    <w:tbl>
      <w:tblPr>
        <w:tblStyle w:val="9"/>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1980"/>
        <w:gridCol w:w="3520"/>
        <w:gridCol w:w="388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98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352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88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66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restart"/>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宣传方案拟定</w:t>
            </w:r>
          </w:p>
        </w:tc>
        <w:tc>
          <w:tcPr>
            <w:tcW w:w="198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策划</w:t>
            </w: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日常传播方案</w:t>
            </w:r>
          </w:p>
        </w:tc>
        <w:tc>
          <w:tcPr>
            <w:tcW w:w="388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22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份</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大会期间传播策略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会后延展传播策略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ign w:val="center"/>
          </w:tcPr>
          <w:p>
            <w:pPr>
              <w:widowControl/>
              <w:jc w:val="center"/>
              <w:rPr>
                <w:rFonts w:hint="eastAsia"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日常沟通</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稿件撰写</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图文及排版</w:t>
            </w:r>
          </w:p>
        </w:tc>
        <w:tc>
          <w:tcPr>
            <w:tcW w:w="3520" w:type="dxa"/>
            <w:shd w:val="clear" w:color="auto" w:fill="auto"/>
            <w:noWrap/>
            <w:vAlign w:val="center"/>
          </w:tcPr>
          <w:p>
            <w:pPr>
              <w:widowControl/>
              <w:jc w:val="left"/>
              <w:rPr>
                <w:rFonts w:hint="eastAsia"/>
              </w:rPr>
            </w:pPr>
            <w:r>
              <w:rPr>
                <w:rFonts w:hint="eastAsia"/>
              </w:rPr>
              <w:t>撰写世界机器人大会前中后期媒体宣传PR稿件</w:t>
            </w:r>
            <w:r>
              <w:rPr>
                <w:rFonts w:hint="eastAsia"/>
                <w:lang w:eastAsia="zh-CN"/>
              </w:rPr>
              <w:t>，</w:t>
            </w:r>
            <w:r>
              <w:rPr>
                <w:rFonts w:hint="eastAsia"/>
              </w:rPr>
              <w:t>撰写方向：</w:t>
            </w:r>
          </w:p>
          <w:p>
            <w:pPr>
              <w:widowControl/>
              <w:jc w:val="left"/>
              <w:rPr>
                <w:rFonts w:hint="default" w:eastAsia="宋体"/>
                <w:lang w:val="en-US" w:eastAsia="zh-CN"/>
              </w:rPr>
            </w:pPr>
            <w:r>
              <w:rPr>
                <w:rFonts w:hint="eastAsia"/>
              </w:rPr>
              <w:t xml:space="preserve">- </w:t>
            </w:r>
            <w:r>
              <w:rPr>
                <w:rFonts w:hint="eastAsia"/>
                <w:lang w:val="en-US" w:eastAsia="zh-CN"/>
              </w:rPr>
              <w:t>大会预热</w:t>
            </w:r>
          </w:p>
          <w:p>
            <w:pPr>
              <w:widowControl/>
              <w:jc w:val="left"/>
              <w:rPr>
                <w:rFonts w:hint="default" w:eastAsia="宋体"/>
                <w:lang w:val="en-US" w:eastAsia="zh-CN"/>
              </w:rPr>
            </w:pPr>
            <w:r>
              <w:rPr>
                <w:rFonts w:hint="eastAsia"/>
              </w:rPr>
              <w:t xml:space="preserve">- </w:t>
            </w:r>
            <w:r>
              <w:rPr>
                <w:rFonts w:hint="eastAsia"/>
                <w:lang w:eastAsia="zh-CN"/>
              </w:rPr>
              <w:t>“</w:t>
            </w:r>
            <w:r>
              <w:rPr>
                <w:rFonts w:hint="eastAsia"/>
                <w:lang w:val="en-US" w:eastAsia="zh-CN"/>
              </w:rPr>
              <w:t>机器人+</w:t>
            </w:r>
            <w:r>
              <w:rPr>
                <w:rFonts w:hint="eastAsia"/>
                <w:lang w:eastAsia="zh-CN"/>
              </w:rPr>
              <w:t>”</w:t>
            </w:r>
            <w:r>
              <w:rPr>
                <w:rFonts w:hint="eastAsia"/>
                <w:lang w:val="en-US" w:eastAsia="zh-CN"/>
              </w:rPr>
              <w:t>重点领域结合展览内容的预告</w:t>
            </w:r>
          </w:p>
          <w:p>
            <w:pPr>
              <w:widowControl/>
              <w:jc w:val="left"/>
              <w:rPr>
                <w:rFonts w:hint="default" w:eastAsia="宋体"/>
                <w:lang w:val="en-US" w:eastAsia="zh-CN"/>
              </w:rPr>
            </w:pPr>
            <w:r>
              <w:rPr>
                <w:rFonts w:hint="eastAsia"/>
              </w:rPr>
              <w:t xml:space="preserve">- </w:t>
            </w:r>
            <w:r>
              <w:rPr>
                <w:rFonts w:hint="eastAsia"/>
                <w:lang w:val="en-US" w:eastAsia="zh-CN"/>
              </w:rPr>
              <w:t>参会大咖预告</w:t>
            </w:r>
          </w:p>
          <w:p>
            <w:pPr>
              <w:widowControl/>
              <w:jc w:val="left"/>
              <w:rPr>
                <w:rFonts w:hint="eastAsia"/>
                <w:lang w:val="en-US" w:eastAsia="zh-CN"/>
              </w:rPr>
            </w:pPr>
            <w:r>
              <w:rPr>
                <w:rFonts w:hint="eastAsia"/>
              </w:rPr>
              <w:t xml:space="preserve">- </w:t>
            </w:r>
            <w:r>
              <w:rPr>
                <w:rFonts w:hint="eastAsia"/>
                <w:lang w:val="en-US" w:eastAsia="zh-CN"/>
              </w:rPr>
              <w:t>亮点展品预告</w:t>
            </w:r>
          </w:p>
          <w:p>
            <w:pPr>
              <w:widowControl/>
              <w:jc w:val="left"/>
              <w:rPr>
                <w:rFonts w:hint="eastAsia"/>
                <w:lang w:val="en-US" w:eastAsia="zh-CN"/>
              </w:rPr>
            </w:pPr>
            <w:r>
              <w:rPr>
                <w:rFonts w:hint="eastAsia"/>
              </w:rPr>
              <w:t>- 赛事</w:t>
            </w:r>
            <w:r>
              <w:rPr>
                <w:rFonts w:hint="eastAsia"/>
                <w:lang w:val="en-US" w:eastAsia="zh-CN"/>
              </w:rPr>
              <w:t>赛程预告</w:t>
            </w:r>
          </w:p>
          <w:p>
            <w:pPr>
              <w:widowControl/>
              <w:jc w:val="left"/>
              <w:rPr>
                <w:rFonts w:hint="default"/>
                <w:lang w:val="en-US" w:eastAsia="zh-CN"/>
              </w:rPr>
            </w:pPr>
            <w:r>
              <w:rPr>
                <w:rFonts w:hint="eastAsia"/>
                <w:lang w:val="en-US" w:eastAsia="zh-CN"/>
              </w:rPr>
              <w:t>- 新闻发布会</w:t>
            </w:r>
          </w:p>
          <w:p>
            <w:pPr>
              <w:widowControl/>
              <w:jc w:val="left"/>
              <w:rPr>
                <w:rFonts w:hint="eastAsia"/>
                <w:lang w:val="en-US" w:eastAsia="zh-CN"/>
              </w:rPr>
            </w:pPr>
            <w:r>
              <w:rPr>
                <w:rFonts w:hint="eastAsia"/>
              </w:rPr>
              <w:t xml:space="preserve">- </w:t>
            </w:r>
            <w:r>
              <w:rPr>
                <w:rFonts w:hint="eastAsia"/>
                <w:lang w:val="en-US" w:eastAsia="zh-CN"/>
              </w:rPr>
              <w:t>开幕通稿</w:t>
            </w:r>
          </w:p>
          <w:p>
            <w:pPr>
              <w:widowControl/>
              <w:jc w:val="left"/>
              <w:rPr>
                <w:rFonts w:hint="eastAsia"/>
                <w:lang w:val="en-US" w:eastAsia="zh-CN"/>
              </w:rPr>
            </w:pPr>
            <w:r>
              <w:rPr>
                <w:rFonts w:hint="eastAsia"/>
                <w:lang w:val="en-US" w:eastAsia="zh-CN"/>
              </w:rPr>
              <w:t>- 闭幕通稿</w:t>
            </w:r>
          </w:p>
          <w:p>
            <w:pPr>
              <w:widowControl/>
              <w:jc w:val="left"/>
              <w:rPr>
                <w:rFonts w:hint="default"/>
                <w:lang w:val="en-US" w:eastAsia="zh-CN"/>
              </w:rPr>
            </w:pPr>
            <w:r>
              <w:rPr>
                <w:rFonts w:hint="eastAsia"/>
                <w:lang w:val="en-US" w:eastAsia="zh-CN"/>
              </w:rPr>
              <w:t>- 后续宣传通稿</w:t>
            </w:r>
          </w:p>
          <w:p>
            <w:pPr>
              <w:widowControl/>
              <w:jc w:val="left"/>
              <w:rPr>
                <w:rFonts w:hint="eastAsia" w:ascii="宋体" w:hAnsi="宋体" w:cs="宋体"/>
                <w:color w:val="000000"/>
                <w:kern w:val="0"/>
                <w:sz w:val="22"/>
                <w:szCs w:val="22"/>
              </w:rPr>
            </w:pPr>
            <w:r>
              <w:rPr>
                <w:rFonts w:hint="eastAsia"/>
                <w:lang w:val="en-US" w:eastAsia="zh-CN"/>
              </w:rPr>
              <w:t>等</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图片设计</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设计创意</w:t>
            </w: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长图</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海报</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媒体手册</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公众号排版</w:t>
            </w:r>
          </w:p>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等</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266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媒体管理</w:t>
            </w:r>
          </w:p>
        </w:tc>
        <w:tc>
          <w:tcPr>
            <w:tcW w:w="198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媒介</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负责展会现场媒体接待策划及流程设计 </w:t>
            </w:r>
          </w:p>
        </w:tc>
        <w:tc>
          <w:tcPr>
            <w:tcW w:w="3880" w:type="dxa"/>
            <w:vMerge w:val="restart"/>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600人以上媒体规模</w:t>
            </w:r>
          </w:p>
        </w:tc>
        <w:tc>
          <w:tcPr>
            <w:tcW w:w="266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负责展会期间媒体到场接待</w:t>
            </w:r>
          </w:p>
        </w:tc>
        <w:tc>
          <w:tcPr>
            <w:tcW w:w="3880" w:type="dxa"/>
            <w:vMerge w:val="continue"/>
            <w:shd w:val="clear" w:color="auto" w:fill="auto"/>
            <w:noWrap/>
            <w:vAlign w:val="center"/>
          </w:tcPr>
          <w:p>
            <w:pPr>
              <w:widowControl/>
              <w:jc w:val="center"/>
              <w:rPr>
                <w:rFonts w:hint="default" w:ascii="宋体" w:hAnsi="宋体" w:eastAsia="宋体" w:cs="宋体"/>
                <w:color w:val="000000"/>
                <w:kern w:val="0"/>
                <w:sz w:val="22"/>
                <w:szCs w:val="22"/>
                <w:lang w:val="en-US" w:eastAsia="zh-CN"/>
              </w:rPr>
            </w:pPr>
          </w:p>
        </w:tc>
        <w:tc>
          <w:tcPr>
            <w:tcW w:w="2660" w:type="dxa"/>
            <w:vMerge w:val="continue"/>
            <w:shd w:val="clear" w:color="auto" w:fill="auto"/>
            <w:noWrap/>
            <w:vAlign w:val="center"/>
          </w:tcPr>
          <w:p>
            <w:pPr>
              <w:widowControl/>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pPr>
          </w:p>
        </w:tc>
        <w:tc>
          <w:tcPr>
            <w:tcW w:w="1980" w:type="dxa"/>
            <w:vMerge w:val="continue"/>
            <w:shd w:val="clear" w:color="auto" w:fill="auto"/>
            <w:noWrap w:val="0"/>
            <w:vAlign w:val="center"/>
          </w:tcPr>
          <w:p>
            <w:pPr>
              <w:widowControl/>
              <w:jc w:val="left"/>
            </w:pP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负责对接安排媒体采访服务</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198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3520"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重点媒体直播探展服务</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198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负责展前媒体邀约及展后到场媒体网络发布的回执跟踪。 </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活动管理</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现场执行</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展期内和新闻发布会现场宣传相关工作执行，包括媒体对接、签到、协助组委会组织各项活动等。</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7天、600人以上媒体具体需求落实</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华文楷体" w:hAnsi="华文楷体" w:eastAsia="华文楷体" w:cs="华文楷体"/>
                <w:b/>
                <w:bCs/>
                <w:i w:val="0"/>
                <w:iCs w:val="0"/>
                <w:color w:val="000000"/>
                <w:kern w:val="0"/>
                <w:sz w:val="22"/>
                <w:szCs w:val="22"/>
                <w:u w:val="none"/>
                <w:lang w:val="en-US" w:eastAsia="zh-CN" w:bidi="ar"/>
              </w:rPr>
              <w:t>结案报告</w:t>
            </w:r>
          </w:p>
        </w:tc>
        <w:tc>
          <w:tcPr>
            <w:tcW w:w="198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报告</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 xml:space="preserve">大会结束整体网络宣传媒体清单链接回执报告 </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continue"/>
            <w:shd w:val="clear" w:color="auto" w:fill="auto"/>
            <w:noWrap w:val="0"/>
            <w:vAlign w:val="center"/>
          </w:tcPr>
          <w:p>
            <w:pPr>
              <w:widowControl/>
              <w:jc w:val="left"/>
            </w:pPr>
          </w:p>
        </w:tc>
        <w:tc>
          <w:tcPr>
            <w:tcW w:w="1980" w:type="dxa"/>
            <w:vMerge w:val="continue"/>
            <w:shd w:val="clear" w:color="auto" w:fill="auto"/>
            <w:noWrap/>
            <w:vAlign w:val="center"/>
          </w:tcPr>
          <w:p>
            <w:pPr>
              <w:widowControl/>
              <w:jc w:val="left"/>
            </w:pP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展会期间每日舆情数据报告</w:t>
            </w:r>
            <w:r>
              <w:rPr>
                <w:rFonts w:hint="eastAsia" w:ascii="宋体" w:hAnsi="宋体" w:cs="宋体"/>
                <w:color w:val="000000"/>
                <w:kern w:val="0"/>
                <w:sz w:val="22"/>
                <w:szCs w:val="22"/>
                <w:lang w:val="en-US" w:eastAsia="zh-CN"/>
              </w:rPr>
              <w:t>及舆情监测服务</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266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continue"/>
            <w:shd w:val="clear" w:color="auto" w:fill="auto"/>
            <w:noWrap w:val="0"/>
            <w:vAlign w:val="center"/>
          </w:tcPr>
          <w:p>
            <w:pPr>
              <w:widowControl/>
              <w:jc w:val="left"/>
              <w:rPr>
                <w:rFonts w:hint="default" w:ascii="宋体" w:hAnsi="宋体" w:eastAsia="宋体" w:cs="宋体"/>
                <w:color w:val="000000"/>
                <w:kern w:val="0"/>
                <w:sz w:val="22"/>
                <w:szCs w:val="22"/>
                <w:lang w:val="en-US" w:eastAsia="zh-CN"/>
              </w:rPr>
            </w:pPr>
          </w:p>
        </w:tc>
        <w:tc>
          <w:tcPr>
            <w:tcW w:w="198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会后</w:t>
            </w:r>
            <w:r>
              <w:rPr>
                <w:rFonts w:hint="default" w:ascii="宋体" w:hAnsi="宋体" w:eastAsia="宋体" w:cs="宋体"/>
                <w:color w:val="000000"/>
                <w:kern w:val="0"/>
                <w:sz w:val="22"/>
                <w:szCs w:val="22"/>
                <w:lang w:val="en-US" w:eastAsia="zh-CN"/>
              </w:rPr>
              <w:t>整体舆情分析报告</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r>
    </w:tbl>
    <w:p>
      <w:pPr>
        <w:spacing w:line="360" w:lineRule="auto"/>
        <w:rPr>
          <w:rFonts w:eastAsia="仿宋_GB2312"/>
          <w:sz w:val="24"/>
        </w:rPr>
      </w:pP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r>
        <w:rPr>
          <w:rFonts w:hint="eastAsia" w:eastAsia="仿宋_GB2312"/>
          <w:b w:val="0"/>
          <w:bCs w:val="0"/>
          <w:sz w:val="28"/>
          <w:szCs w:val="28"/>
          <w:lang w:eastAsia="zh-CN"/>
        </w:rPr>
        <w:tab/>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50018067"/>
      <w:bookmarkStart w:id="78"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55</w:t>
            </w:r>
          </w:p>
        </w:tc>
        <w:tc>
          <w:tcPr>
            <w:tcW w:w="1782"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活动宣传公关</w:t>
            </w:r>
            <w:r>
              <w:rPr>
                <w:rFonts w:hint="eastAsia" w:eastAsia="仿宋_GB2312"/>
                <w:szCs w:val="21"/>
              </w:rPr>
              <w:t>相关业绩证明材料得</w:t>
            </w:r>
            <w:r>
              <w:rPr>
                <w:rFonts w:hint="eastAsia" w:eastAsia="仿宋_GB2312"/>
                <w:szCs w:val="21"/>
                <w:lang w:val="en-US" w:eastAsia="zh-CN"/>
              </w:rPr>
              <w:t>5</w:t>
            </w:r>
            <w:r>
              <w:rPr>
                <w:rFonts w:hint="eastAsia" w:eastAsia="仿宋_GB2312"/>
                <w:szCs w:val="21"/>
              </w:rPr>
              <w:t>分，满分1</w:t>
            </w:r>
            <w:r>
              <w:rPr>
                <w:rFonts w:hint="eastAsia" w:eastAsia="仿宋_GB2312"/>
                <w:szCs w:val="21"/>
                <w:lang w:val="en-US" w:eastAsia="zh-CN"/>
              </w:rPr>
              <w:t>5</w:t>
            </w:r>
            <w:r>
              <w:rPr>
                <w:rFonts w:hint="eastAsia" w:eastAsia="仿宋_GB2312"/>
                <w:szCs w:val="21"/>
              </w:rPr>
              <w:t>分</w:t>
            </w:r>
            <w:r>
              <w:rPr>
                <w:rFonts w:hint="eastAsia" w:eastAsia="仿宋_GB2312"/>
                <w:szCs w:val="21"/>
                <w:lang w:eastAsia="zh-CN"/>
              </w:rPr>
              <w:t>；</w:t>
            </w:r>
            <w:r>
              <w:rPr>
                <w:rFonts w:hint="eastAsia" w:eastAsia="仿宋_GB2312"/>
                <w:szCs w:val="21"/>
                <w:lang w:eastAsia="zh-CN"/>
              </w:rPr>
              <w:br w:type="textWrapping"/>
            </w:r>
            <w:r>
              <w:rPr>
                <w:rFonts w:hint="eastAsia" w:eastAsia="仿宋_GB2312"/>
                <w:szCs w:val="21"/>
              </w:rPr>
              <w:t>每提供一份</w:t>
            </w:r>
            <w:r>
              <w:rPr>
                <w:rFonts w:hint="eastAsia" w:eastAsia="仿宋_GB2312"/>
                <w:szCs w:val="21"/>
                <w:lang w:val="en-US" w:eastAsia="zh-CN"/>
              </w:rPr>
              <w:t>活动媒体沟通组织</w:t>
            </w:r>
            <w:r>
              <w:rPr>
                <w:rFonts w:hint="eastAsia" w:eastAsia="仿宋_GB2312"/>
                <w:szCs w:val="21"/>
              </w:rPr>
              <w:t>相关业绩证明材料得</w:t>
            </w:r>
            <w:r>
              <w:rPr>
                <w:rFonts w:hint="eastAsia" w:eastAsia="仿宋_GB2312"/>
                <w:szCs w:val="21"/>
                <w:lang w:val="en-US" w:eastAsia="zh-CN"/>
              </w:rPr>
              <w:t>5</w:t>
            </w:r>
            <w:r>
              <w:rPr>
                <w:rFonts w:hint="eastAsia" w:eastAsia="仿宋_GB2312"/>
                <w:szCs w:val="21"/>
              </w:rPr>
              <w:t>分，满分</w:t>
            </w:r>
            <w:r>
              <w:rPr>
                <w:rFonts w:hint="eastAsia" w:eastAsia="仿宋_GB2312"/>
                <w:szCs w:val="21"/>
                <w:lang w:val="en-US" w:eastAsia="zh-CN"/>
              </w:rPr>
              <w:t>15</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eastAsia="仿宋_GB2312"/>
                <w:szCs w:val="21"/>
              </w:rPr>
              <w:t>20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w:t>
            </w:r>
            <w:r>
              <w:rPr>
                <w:rFonts w:hint="eastAsia" w:eastAsia="仿宋_GB2312"/>
                <w:szCs w:val="21"/>
                <w:lang w:val="en-US" w:eastAsia="zh-CN"/>
              </w:rPr>
              <w:t>最低报价</w:t>
            </w:r>
            <w:r>
              <w:rPr>
                <w:rFonts w:hint="eastAsia" w:eastAsia="仿宋_GB2312"/>
                <w:szCs w:val="21"/>
              </w:rPr>
              <w:t>作为基准值，得分</w:t>
            </w:r>
            <w:r>
              <w:rPr>
                <w:rFonts w:eastAsia="仿宋_GB2312"/>
                <w:szCs w:val="21"/>
              </w:rPr>
              <w:t>=</w:t>
            </w:r>
            <w:r>
              <w:rPr>
                <w:rFonts w:hint="eastAsia" w:eastAsia="仿宋_GB2312"/>
                <w:szCs w:val="21"/>
                <w:lang w:eastAsia="zh-CN"/>
              </w:rPr>
              <w:t>（</w:t>
            </w:r>
            <w:r>
              <w:rPr>
                <w:rFonts w:hint="eastAsia" w:eastAsia="仿宋_GB2312"/>
                <w:szCs w:val="21"/>
                <w:lang w:val="en-US" w:eastAsia="zh-CN"/>
              </w:rPr>
              <w:t>基准值</w:t>
            </w:r>
            <w:r>
              <w:rPr>
                <w:rFonts w:eastAsia="仿宋_GB2312"/>
                <w:szCs w:val="21"/>
              </w:rPr>
              <w:t>/</w:t>
            </w:r>
            <w:r>
              <w:rPr>
                <w:rFonts w:hint="eastAsia" w:eastAsia="仿宋_GB2312"/>
                <w:szCs w:val="21"/>
                <w:lang w:val="en-US" w:eastAsia="zh-CN"/>
              </w:rPr>
              <w:t>报价）</w:t>
            </w:r>
            <w:r>
              <w:rPr>
                <w:rFonts w:hint="eastAsia" w:eastAsia="仿宋_GB2312"/>
                <w:szCs w:val="21"/>
              </w:rPr>
              <w:t>×</w:t>
            </w:r>
            <w:r>
              <w:rPr>
                <w:rFonts w:eastAsia="仿宋_GB2312"/>
                <w:szCs w:val="21"/>
              </w:rPr>
              <w:t>20%</w:t>
            </w:r>
            <w:r>
              <w:rPr>
                <w:rFonts w:hint="eastAsia" w:eastAsia="仿宋_GB2312"/>
                <w:szCs w:val="21"/>
              </w:rPr>
              <w:t>×</w:t>
            </w: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40</w:t>
            </w: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媒体统筹方案</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是否有序、详尽、合理、可行，根据评审情况综合打分，优15-20分，良10-15分，中5-10分，差0-5分.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大会传播方案</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是否详尽、合理，根据评审情况综合打分，优8-10分，良5-8分，中0-5分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现场组织管理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是否有序、详尽、合理、可靠，根据评审情况综合打分，优8-10分，良5-8分，中0-5分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rPr>
        <w:br w:type="page"/>
      </w:r>
      <w:bookmarkStart w:id="81" w:name="_Toc16074926"/>
      <w:bookmarkStart w:id="82" w:name="_Toc50018069"/>
      <w:bookmarkStart w:id="83" w:name="_Toc41696718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24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pStyle w:val="3"/>
        <w:numPr>
          <w:ilvl w:val="0"/>
          <w:numId w:val="0"/>
        </w:numPr>
        <w:tabs>
          <w:tab w:val="clear" w:pos="567"/>
        </w:tabs>
        <w:ind w:left="567"/>
        <w:rPr>
          <w:rFonts w:eastAsia="仿宋_GB2312"/>
        </w:rPr>
      </w:pPr>
      <w:bookmarkStart w:id="84" w:name="_Toc416967187"/>
      <w:bookmarkStart w:id="85" w:name="_Toc50018070"/>
      <w:bookmarkStart w:id="86" w:name="_Toc16074927"/>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33"/>
        <w:gridCol w:w="6900"/>
        <w:gridCol w:w="1878"/>
        <w:gridCol w:w="57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shd w:val="clear" w:color="000000" w:fill="366092"/>
            <w:noWrap/>
            <w:vAlign w:val="center"/>
          </w:tcPr>
          <w:p>
            <w:pPr>
              <w:spacing w:line="360" w:lineRule="auto"/>
              <w:rPr>
                <w:rFonts w:eastAsia="仿宋_GB2312"/>
                <w:sz w:val="24"/>
              </w:rPr>
            </w:pPr>
            <w:r>
              <w:rPr>
                <w:rFonts w:hint="eastAsia" w:eastAsia="仿宋_GB2312"/>
                <w:sz w:val="24"/>
              </w:rPr>
              <w:t>项目名称</w:t>
            </w:r>
          </w:p>
        </w:tc>
        <w:tc>
          <w:tcPr>
            <w:tcW w:w="1433" w:type="dxa"/>
            <w:shd w:val="clear" w:color="000000" w:fill="366092"/>
            <w:noWrap/>
            <w:vAlign w:val="center"/>
          </w:tcPr>
          <w:p>
            <w:pPr>
              <w:spacing w:line="360" w:lineRule="auto"/>
              <w:rPr>
                <w:rFonts w:hint="eastAsia" w:eastAsia="仿宋_GB2312"/>
                <w:sz w:val="24"/>
              </w:rPr>
            </w:pPr>
            <w:r>
              <w:rPr>
                <w:rFonts w:hint="eastAsia" w:eastAsia="仿宋_GB2312"/>
                <w:sz w:val="24"/>
              </w:rPr>
              <w:t>类型</w:t>
            </w:r>
          </w:p>
        </w:tc>
        <w:tc>
          <w:tcPr>
            <w:tcW w:w="6900" w:type="dxa"/>
            <w:shd w:val="clear" w:color="000000" w:fill="366092"/>
            <w:noWrap/>
            <w:vAlign w:val="center"/>
          </w:tcPr>
          <w:p>
            <w:pPr>
              <w:spacing w:line="360" w:lineRule="auto"/>
              <w:rPr>
                <w:rFonts w:hint="eastAsia" w:eastAsia="仿宋_GB2312"/>
                <w:sz w:val="24"/>
              </w:rPr>
            </w:pPr>
            <w:r>
              <w:rPr>
                <w:rFonts w:hint="eastAsia" w:eastAsia="仿宋_GB2312"/>
                <w:sz w:val="24"/>
              </w:rPr>
              <w:t>描述</w:t>
            </w:r>
          </w:p>
        </w:tc>
        <w:tc>
          <w:tcPr>
            <w:tcW w:w="1878" w:type="dxa"/>
            <w:shd w:val="clear" w:color="000000" w:fill="366092"/>
            <w:noWrap/>
            <w:vAlign w:val="center"/>
          </w:tcPr>
          <w:p>
            <w:pPr>
              <w:spacing w:line="360" w:lineRule="auto"/>
              <w:rPr>
                <w:rFonts w:hint="eastAsia" w:eastAsia="仿宋_GB2312"/>
                <w:sz w:val="24"/>
                <w:lang w:eastAsia="zh-CN"/>
              </w:rPr>
            </w:pPr>
            <w:r>
              <w:rPr>
                <w:rFonts w:hint="eastAsia" w:eastAsia="仿宋_GB2312"/>
                <w:sz w:val="24"/>
                <w:lang w:val="en-US" w:eastAsia="zh-CN"/>
              </w:rPr>
              <w:t>数量</w:t>
            </w:r>
          </w:p>
        </w:tc>
        <w:tc>
          <w:tcPr>
            <w:tcW w:w="577" w:type="dxa"/>
            <w:shd w:val="clear" w:color="000000" w:fill="366092"/>
            <w:noWrap/>
            <w:vAlign w:val="center"/>
          </w:tcPr>
          <w:p>
            <w:pPr>
              <w:spacing w:line="360" w:lineRule="auto"/>
              <w:rPr>
                <w:rFonts w:hint="eastAsia" w:eastAsia="仿宋_GB2312"/>
                <w:sz w:val="24"/>
                <w:lang w:eastAsia="zh-CN"/>
              </w:rPr>
            </w:pPr>
            <w:r>
              <w:rPr>
                <w:rFonts w:hint="eastAsia" w:eastAsia="仿宋_GB2312"/>
                <w:sz w:val="24"/>
                <w:lang w:val="en-US" w:eastAsia="zh-CN"/>
              </w:rPr>
              <w:t>单位</w:t>
            </w:r>
          </w:p>
        </w:tc>
        <w:tc>
          <w:tcPr>
            <w:tcW w:w="1578" w:type="dxa"/>
            <w:shd w:val="clear" w:color="000000" w:fill="366092"/>
            <w:noWrap/>
            <w:vAlign w:val="center"/>
          </w:tcPr>
          <w:p>
            <w:pPr>
              <w:spacing w:line="360" w:lineRule="auto"/>
              <w:rPr>
                <w:rFonts w:hint="default" w:eastAsia="仿宋_GB2312"/>
                <w:sz w:val="24"/>
                <w:lang w:val="en-US" w:eastAsia="zh-CN"/>
              </w:rPr>
            </w:pPr>
            <w:r>
              <w:rPr>
                <w:rFonts w:hint="eastAsia" w:eastAsia="仿宋_GB2312"/>
                <w:sz w:val="24"/>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restart"/>
            <w:shd w:val="clear" w:color="auto" w:fill="auto"/>
            <w:noWrap/>
            <w:vAlign w:val="center"/>
          </w:tcPr>
          <w:p>
            <w:pPr>
              <w:spacing w:line="360" w:lineRule="auto"/>
              <w:rPr>
                <w:rFonts w:hint="default" w:eastAsia="仿宋_GB2312"/>
                <w:sz w:val="24"/>
                <w:lang w:val="en-US"/>
              </w:rPr>
            </w:pPr>
            <w:r>
              <w:rPr>
                <w:rFonts w:hint="eastAsia" w:eastAsia="仿宋_GB2312"/>
                <w:sz w:val="24"/>
                <w:lang w:val="en-US" w:eastAsia="zh-CN"/>
              </w:rPr>
              <w:t>宣传方案拟定</w:t>
            </w:r>
          </w:p>
        </w:tc>
        <w:tc>
          <w:tcPr>
            <w:tcW w:w="1433"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策划</w:t>
            </w: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日常传播方案</w:t>
            </w:r>
          </w:p>
        </w:tc>
        <w:tc>
          <w:tcPr>
            <w:tcW w:w="1878" w:type="dxa"/>
            <w:vMerge w:val="restart"/>
            <w:shd w:val="clear" w:color="auto" w:fill="auto"/>
            <w:noWrap/>
            <w:vAlign w:val="center"/>
          </w:tcPr>
          <w:p>
            <w:pPr>
              <w:spacing w:line="360" w:lineRule="auto"/>
              <w:rPr>
                <w:rFonts w:hint="eastAsia" w:eastAsia="仿宋_GB2312"/>
                <w:sz w:val="24"/>
              </w:rPr>
            </w:pPr>
            <w:r>
              <w:rPr>
                <w:rFonts w:hint="eastAsia" w:eastAsia="仿宋_GB2312"/>
                <w:sz w:val="24"/>
              </w:rPr>
              <w:t>　</w:t>
            </w:r>
          </w:p>
          <w:p>
            <w:pPr>
              <w:spacing w:line="360" w:lineRule="auto"/>
              <w:rPr>
                <w:rFonts w:hint="default" w:eastAsia="仿宋_GB2312"/>
                <w:sz w:val="24"/>
                <w:lang w:val="en-US" w:eastAsia="zh-CN"/>
              </w:rPr>
            </w:pPr>
            <w:r>
              <w:rPr>
                <w:rFonts w:hint="eastAsia" w:eastAsia="仿宋_GB2312"/>
                <w:sz w:val="24"/>
              </w:rPr>
              <w:t>　</w:t>
            </w:r>
            <w:r>
              <w:rPr>
                <w:rFonts w:hint="eastAsia" w:eastAsia="仿宋_GB2312"/>
                <w:sz w:val="24"/>
                <w:lang w:eastAsia="zh-CN"/>
              </w:rPr>
              <w:tab/>
            </w:r>
            <w:r>
              <w:rPr>
                <w:rFonts w:hint="eastAsia" w:eastAsia="仿宋_GB2312"/>
                <w:sz w:val="24"/>
                <w:lang w:val="en-US" w:eastAsia="zh-CN"/>
              </w:rPr>
              <w:t>1</w:t>
            </w:r>
          </w:p>
          <w:p>
            <w:pPr>
              <w:spacing w:line="360" w:lineRule="auto"/>
              <w:rPr>
                <w:rFonts w:hint="eastAsia" w:eastAsia="仿宋_GB2312"/>
                <w:sz w:val="24"/>
              </w:rPr>
            </w:pPr>
            <w:r>
              <w:rPr>
                <w:rFonts w:hint="eastAsia" w:eastAsia="仿宋_GB2312"/>
                <w:sz w:val="24"/>
              </w:rPr>
              <w:t>　</w:t>
            </w:r>
          </w:p>
          <w:p>
            <w:pPr>
              <w:spacing w:line="360" w:lineRule="auto"/>
              <w:rPr>
                <w:rFonts w:hint="eastAsia" w:eastAsia="仿宋_GB2312"/>
                <w:sz w:val="24"/>
              </w:rPr>
            </w:pPr>
            <w:r>
              <w:rPr>
                <w:rFonts w:hint="eastAsia" w:eastAsia="仿宋_GB2312"/>
                <w:sz w:val="24"/>
              </w:rPr>
              <w:t>　</w:t>
            </w:r>
          </w:p>
        </w:tc>
        <w:tc>
          <w:tcPr>
            <w:tcW w:w="577" w:type="dxa"/>
            <w:vMerge w:val="restart"/>
            <w:shd w:val="clear" w:color="auto" w:fill="auto"/>
            <w:noWrap/>
            <w:vAlign w:val="center"/>
          </w:tcPr>
          <w:p>
            <w:pPr>
              <w:spacing w:line="360" w:lineRule="auto"/>
              <w:rPr>
                <w:rFonts w:hint="eastAsia" w:eastAsia="仿宋_GB2312"/>
                <w:sz w:val="24"/>
              </w:rPr>
            </w:pPr>
            <w:r>
              <w:rPr>
                <w:rFonts w:hint="eastAsia" w:eastAsia="仿宋_GB2312"/>
                <w:sz w:val="24"/>
              </w:rPr>
              <w:t>　</w:t>
            </w:r>
          </w:p>
          <w:p>
            <w:pPr>
              <w:spacing w:line="360" w:lineRule="auto"/>
              <w:rPr>
                <w:rFonts w:hint="default" w:eastAsia="仿宋_GB2312"/>
                <w:sz w:val="24"/>
                <w:lang w:val="en-US" w:eastAsia="zh-CN"/>
              </w:rPr>
            </w:pPr>
            <w:r>
              <w:rPr>
                <w:rFonts w:hint="eastAsia" w:eastAsia="仿宋_GB2312"/>
                <w:sz w:val="24"/>
                <w:lang w:val="en-US" w:eastAsia="zh-CN"/>
              </w:rPr>
              <w:t>份</w:t>
            </w:r>
          </w:p>
          <w:p>
            <w:pPr>
              <w:spacing w:line="360" w:lineRule="auto"/>
              <w:rPr>
                <w:rFonts w:hint="eastAsia" w:eastAsia="仿宋_GB2312"/>
                <w:sz w:val="24"/>
              </w:rPr>
            </w:pPr>
            <w:r>
              <w:rPr>
                <w:rFonts w:hint="eastAsia" w:eastAsia="仿宋_GB2312"/>
                <w:sz w:val="24"/>
              </w:rPr>
              <w:t>　</w:t>
            </w:r>
          </w:p>
          <w:p>
            <w:pPr>
              <w:spacing w:line="360" w:lineRule="auto"/>
              <w:rPr>
                <w:rFonts w:hint="eastAsia" w:eastAsia="仿宋_GB2312"/>
                <w:sz w:val="24"/>
              </w:rPr>
            </w:pPr>
            <w:r>
              <w:rPr>
                <w:rFonts w:hint="eastAsia" w:eastAsia="仿宋_GB2312"/>
                <w:sz w:val="24"/>
              </w:rPr>
              <w:t>　</w:t>
            </w:r>
          </w:p>
        </w:tc>
        <w:tc>
          <w:tcPr>
            <w:tcW w:w="1578" w:type="dxa"/>
            <w:vMerge w:val="restart"/>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大会期间传播策略</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vMerge w:val="continue"/>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会后延展传播策略</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vMerge w:val="continue"/>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ign w:val="center"/>
          </w:tcPr>
          <w:p>
            <w:pPr>
              <w:spacing w:line="360" w:lineRule="auto"/>
              <w:rPr>
                <w:rFonts w:hint="eastAsia"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日常沟通</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vMerge w:val="continue"/>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597"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稿件撰写</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图文及排版</w:t>
            </w: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rPr>
              <w:t>撰写世界机器人大会前中后期媒体宣传PR稿件，撰写方向：</w:t>
            </w:r>
          </w:p>
          <w:p>
            <w:pPr>
              <w:spacing w:line="360" w:lineRule="auto"/>
              <w:rPr>
                <w:rFonts w:hint="eastAsia" w:eastAsia="仿宋_GB2312"/>
                <w:sz w:val="24"/>
              </w:rPr>
            </w:pPr>
            <w:r>
              <w:rPr>
                <w:rFonts w:hint="eastAsia" w:eastAsia="仿宋_GB2312"/>
                <w:sz w:val="24"/>
              </w:rPr>
              <w:t>- 大会预热</w:t>
            </w:r>
          </w:p>
          <w:p>
            <w:pPr>
              <w:spacing w:line="360" w:lineRule="auto"/>
              <w:rPr>
                <w:rFonts w:hint="eastAsia" w:eastAsia="仿宋_GB2312"/>
                <w:sz w:val="24"/>
              </w:rPr>
            </w:pPr>
            <w:r>
              <w:rPr>
                <w:rFonts w:hint="eastAsia" w:eastAsia="仿宋_GB2312"/>
                <w:sz w:val="24"/>
              </w:rPr>
              <w:t>- “机器人+”重点领域结合展览内容的预告</w:t>
            </w:r>
          </w:p>
          <w:p>
            <w:pPr>
              <w:spacing w:line="360" w:lineRule="auto"/>
              <w:rPr>
                <w:rFonts w:hint="eastAsia" w:eastAsia="仿宋_GB2312"/>
                <w:sz w:val="24"/>
              </w:rPr>
            </w:pPr>
            <w:r>
              <w:rPr>
                <w:rFonts w:hint="eastAsia" w:eastAsia="仿宋_GB2312"/>
                <w:sz w:val="24"/>
              </w:rPr>
              <w:t>- 参会大咖预告</w:t>
            </w:r>
          </w:p>
          <w:p>
            <w:pPr>
              <w:spacing w:line="360" w:lineRule="auto"/>
              <w:rPr>
                <w:rFonts w:hint="eastAsia" w:eastAsia="仿宋_GB2312"/>
                <w:sz w:val="24"/>
              </w:rPr>
            </w:pPr>
            <w:r>
              <w:rPr>
                <w:rFonts w:hint="eastAsia" w:eastAsia="仿宋_GB2312"/>
                <w:sz w:val="24"/>
              </w:rPr>
              <w:t>- 亮点展品预告</w:t>
            </w:r>
          </w:p>
          <w:p>
            <w:pPr>
              <w:spacing w:line="360" w:lineRule="auto"/>
              <w:rPr>
                <w:rFonts w:hint="eastAsia" w:eastAsia="仿宋_GB2312"/>
                <w:sz w:val="24"/>
              </w:rPr>
            </w:pPr>
            <w:r>
              <w:rPr>
                <w:rFonts w:hint="eastAsia" w:eastAsia="仿宋_GB2312"/>
                <w:sz w:val="24"/>
              </w:rPr>
              <w:t>- 赛事赛程预告</w:t>
            </w:r>
          </w:p>
          <w:p>
            <w:pPr>
              <w:spacing w:line="360" w:lineRule="auto"/>
              <w:rPr>
                <w:rFonts w:hint="eastAsia" w:eastAsia="仿宋_GB2312"/>
                <w:sz w:val="24"/>
              </w:rPr>
            </w:pPr>
            <w:r>
              <w:rPr>
                <w:rFonts w:hint="eastAsia" w:eastAsia="仿宋_GB2312"/>
                <w:sz w:val="24"/>
              </w:rPr>
              <w:t>- 新闻发布会</w:t>
            </w:r>
          </w:p>
          <w:p>
            <w:pPr>
              <w:spacing w:line="360" w:lineRule="auto"/>
              <w:rPr>
                <w:rFonts w:hint="eastAsia" w:eastAsia="仿宋_GB2312"/>
                <w:sz w:val="24"/>
              </w:rPr>
            </w:pPr>
            <w:r>
              <w:rPr>
                <w:rFonts w:hint="eastAsia" w:eastAsia="仿宋_GB2312"/>
                <w:sz w:val="24"/>
              </w:rPr>
              <w:t>- 开幕通稿</w:t>
            </w:r>
          </w:p>
          <w:p>
            <w:pPr>
              <w:spacing w:line="360" w:lineRule="auto"/>
              <w:rPr>
                <w:rFonts w:hint="eastAsia" w:eastAsia="仿宋_GB2312"/>
                <w:sz w:val="24"/>
              </w:rPr>
            </w:pPr>
            <w:r>
              <w:rPr>
                <w:rFonts w:hint="eastAsia" w:eastAsia="仿宋_GB2312"/>
                <w:sz w:val="24"/>
              </w:rPr>
              <w:t>- 闭幕通稿</w:t>
            </w:r>
          </w:p>
          <w:p>
            <w:pPr>
              <w:spacing w:line="360" w:lineRule="auto"/>
              <w:rPr>
                <w:rFonts w:hint="eastAsia" w:eastAsia="仿宋_GB2312"/>
                <w:sz w:val="24"/>
              </w:rPr>
            </w:pPr>
            <w:r>
              <w:rPr>
                <w:rFonts w:hint="eastAsia" w:eastAsia="仿宋_GB2312"/>
                <w:sz w:val="24"/>
              </w:rPr>
              <w:t>- 后续宣传通稿</w:t>
            </w:r>
          </w:p>
          <w:p>
            <w:pPr>
              <w:spacing w:line="360" w:lineRule="auto"/>
              <w:rPr>
                <w:rFonts w:hint="eastAsia" w:eastAsia="仿宋_GB2312"/>
                <w:sz w:val="24"/>
              </w:rPr>
            </w:pPr>
            <w:r>
              <w:rPr>
                <w:rFonts w:hint="eastAsia" w:eastAsia="仿宋_GB2312"/>
                <w:sz w:val="24"/>
              </w:rPr>
              <w:t>等- 大会预告及招商进展</w:t>
            </w:r>
          </w:p>
          <w:p>
            <w:pPr>
              <w:spacing w:line="360" w:lineRule="auto"/>
              <w:rPr>
                <w:rFonts w:hint="eastAsia" w:eastAsia="仿宋_GB2312"/>
                <w:sz w:val="24"/>
              </w:rPr>
            </w:pPr>
            <w:r>
              <w:rPr>
                <w:rFonts w:hint="eastAsia" w:eastAsia="仿宋_GB2312"/>
                <w:sz w:val="24"/>
              </w:rPr>
              <w:t>- 亮点前瞻</w:t>
            </w:r>
          </w:p>
          <w:p>
            <w:pPr>
              <w:spacing w:line="360" w:lineRule="auto"/>
              <w:rPr>
                <w:rFonts w:hint="eastAsia" w:eastAsia="仿宋_GB2312"/>
                <w:sz w:val="24"/>
              </w:rPr>
            </w:pPr>
            <w:r>
              <w:rPr>
                <w:rFonts w:hint="eastAsia" w:eastAsia="仿宋_GB2312"/>
                <w:sz w:val="24"/>
                <w:lang w:val="en-US" w:eastAsia="zh-CN"/>
              </w:rPr>
              <w:t>等</w:t>
            </w:r>
          </w:p>
        </w:tc>
        <w:tc>
          <w:tcPr>
            <w:tcW w:w="187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15</w:t>
            </w:r>
          </w:p>
        </w:tc>
        <w:tc>
          <w:tcPr>
            <w:tcW w:w="577" w:type="dxa"/>
            <w:shd w:val="clear" w:color="auto" w:fill="auto"/>
            <w:noWrap w:val="0"/>
            <w:vAlign w:val="center"/>
          </w:tcPr>
          <w:p>
            <w:pPr>
              <w:spacing w:line="360" w:lineRule="auto"/>
              <w:rPr>
                <w:rFonts w:hint="eastAsia" w:eastAsia="仿宋_GB2312"/>
                <w:sz w:val="24"/>
                <w:lang w:eastAsia="zh-CN"/>
              </w:rPr>
            </w:pPr>
            <w:r>
              <w:rPr>
                <w:rFonts w:hint="eastAsia" w:eastAsia="仿宋_GB2312"/>
                <w:sz w:val="24"/>
                <w:lang w:val="en-US" w:eastAsia="zh-CN"/>
              </w:rPr>
              <w:t>篇</w:t>
            </w:r>
          </w:p>
        </w:tc>
        <w:tc>
          <w:tcPr>
            <w:tcW w:w="1578" w:type="dxa"/>
            <w:shd w:val="clear" w:color="auto" w:fill="auto"/>
            <w:noWrap w:val="0"/>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597"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图片设计</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设计创意</w:t>
            </w: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 长图</w:t>
            </w:r>
          </w:p>
          <w:p>
            <w:pPr>
              <w:spacing w:line="360" w:lineRule="auto"/>
              <w:rPr>
                <w:rFonts w:hint="default" w:eastAsia="仿宋_GB2312"/>
                <w:sz w:val="24"/>
                <w:lang w:val="en-US" w:eastAsia="zh-CN"/>
              </w:rPr>
            </w:pPr>
            <w:r>
              <w:rPr>
                <w:rFonts w:hint="eastAsia" w:eastAsia="仿宋_GB2312"/>
                <w:sz w:val="24"/>
                <w:lang w:val="en-US" w:eastAsia="zh-CN"/>
              </w:rPr>
              <w:t>- 海报</w:t>
            </w:r>
          </w:p>
          <w:p>
            <w:pPr>
              <w:spacing w:line="360" w:lineRule="auto"/>
              <w:rPr>
                <w:rFonts w:hint="default" w:eastAsia="仿宋_GB2312"/>
                <w:sz w:val="24"/>
                <w:lang w:val="en-US" w:eastAsia="zh-CN"/>
              </w:rPr>
            </w:pPr>
            <w:r>
              <w:rPr>
                <w:rFonts w:hint="eastAsia" w:eastAsia="仿宋_GB2312"/>
                <w:sz w:val="24"/>
                <w:lang w:val="en-US" w:eastAsia="zh-CN"/>
              </w:rPr>
              <w:t>- 媒体手册</w:t>
            </w:r>
          </w:p>
          <w:p>
            <w:pPr>
              <w:spacing w:line="360" w:lineRule="auto"/>
              <w:rPr>
                <w:rFonts w:hint="default" w:eastAsia="仿宋_GB2312"/>
                <w:sz w:val="24"/>
                <w:lang w:val="en-US" w:eastAsia="zh-CN"/>
              </w:rPr>
            </w:pPr>
            <w:r>
              <w:rPr>
                <w:rFonts w:hint="eastAsia" w:eastAsia="仿宋_GB2312"/>
                <w:sz w:val="24"/>
                <w:lang w:val="en-US" w:eastAsia="zh-CN"/>
              </w:rPr>
              <w:t>- 公众号排版</w:t>
            </w:r>
          </w:p>
          <w:p>
            <w:pPr>
              <w:spacing w:line="360" w:lineRule="auto"/>
              <w:rPr>
                <w:rFonts w:hint="default" w:eastAsia="仿宋_GB2312"/>
                <w:sz w:val="24"/>
                <w:lang w:val="en-US" w:eastAsia="zh-CN"/>
              </w:rPr>
            </w:pPr>
            <w:r>
              <w:rPr>
                <w:rFonts w:hint="eastAsia" w:eastAsia="仿宋_GB2312"/>
                <w:sz w:val="24"/>
                <w:lang w:val="en-US" w:eastAsia="zh-CN"/>
              </w:rPr>
              <w:t>等</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30</w:t>
            </w:r>
          </w:p>
        </w:tc>
        <w:tc>
          <w:tcPr>
            <w:tcW w:w="577"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幅</w:t>
            </w: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7" w:type="dxa"/>
            <w:vMerge w:val="restart"/>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媒体管理</w:t>
            </w:r>
          </w:p>
        </w:tc>
        <w:tc>
          <w:tcPr>
            <w:tcW w:w="1433"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媒介</w:t>
            </w: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 xml:space="preserve">负责展会现场媒体接待策划及流程设计 </w:t>
            </w:r>
          </w:p>
        </w:tc>
        <w:tc>
          <w:tcPr>
            <w:tcW w:w="1878" w:type="dxa"/>
            <w:vMerge w:val="restart"/>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600人以上媒体规模</w:t>
            </w:r>
          </w:p>
        </w:tc>
        <w:tc>
          <w:tcPr>
            <w:tcW w:w="577"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人</w:t>
            </w:r>
          </w:p>
        </w:tc>
        <w:tc>
          <w:tcPr>
            <w:tcW w:w="1578" w:type="dxa"/>
            <w:vMerge w:val="restart"/>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负责展会期间媒体到场接待</w:t>
            </w:r>
          </w:p>
        </w:tc>
        <w:tc>
          <w:tcPr>
            <w:tcW w:w="1878" w:type="dxa"/>
            <w:vMerge w:val="continue"/>
            <w:shd w:val="clear" w:color="auto" w:fill="auto"/>
            <w:noWrap/>
            <w:vAlign w:val="center"/>
          </w:tcPr>
          <w:p>
            <w:pPr>
              <w:spacing w:line="360" w:lineRule="auto"/>
              <w:rPr>
                <w:rFonts w:hint="default"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eastAsia="zh-CN"/>
              </w:rPr>
            </w:pPr>
          </w:p>
        </w:tc>
        <w:tc>
          <w:tcPr>
            <w:tcW w:w="1578" w:type="dxa"/>
            <w:vMerge w:val="continue"/>
            <w:shd w:val="clear" w:color="auto" w:fill="auto"/>
            <w:noWrap/>
            <w:vAlign w:val="center"/>
          </w:tcPr>
          <w:p>
            <w:pPr>
              <w:spacing w:line="360" w:lineRule="auto"/>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负责对接安排媒体采访服务</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vMerge w:val="continue"/>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hint="eastAsia" w:eastAsia="仿宋_GB2312"/>
                <w:sz w:val="24"/>
                <w:lang w:val="en-US" w:eastAsia="zh-CN"/>
              </w:rPr>
            </w:pPr>
          </w:p>
        </w:tc>
        <w:tc>
          <w:tcPr>
            <w:tcW w:w="1433" w:type="dxa"/>
            <w:vMerge w:val="continue"/>
            <w:shd w:val="clear" w:color="auto" w:fill="auto"/>
            <w:noWrap w:val="0"/>
            <w:vAlign w:val="center"/>
          </w:tcPr>
          <w:p>
            <w:pPr>
              <w:spacing w:line="360" w:lineRule="auto"/>
              <w:rPr>
                <w:rFonts w:hint="eastAsia" w:eastAsia="仿宋_GB2312"/>
                <w:sz w:val="24"/>
                <w:lang w:val="en-US" w:eastAsia="zh-CN"/>
              </w:rPr>
            </w:pP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重点媒体直播探展服务</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vMerge w:val="continue"/>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hint="eastAsia" w:eastAsia="仿宋_GB2312"/>
                <w:sz w:val="24"/>
                <w:lang w:val="en-US" w:eastAsia="zh-CN"/>
              </w:rPr>
            </w:pPr>
          </w:p>
        </w:tc>
        <w:tc>
          <w:tcPr>
            <w:tcW w:w="1433" w:type="dxa"/>
            <w:vMerge w:val="continue"/>
            <w:shd w:val="clear" w:color="auto" w:fill="auto"/>
            <w:noWrap w:val="0"/>
            <w:vAlign w:val="center"/>
          </w:tcPr>
          <w:p>
            <w:pPr>
              <w:spacing w:line="360" w:lineRule="auto"/>
              <w:rPr>
                <w:rFonts w:hint="eastAsia" w:eastAsia="仿宋_GB2312"/>
                <w:sz w:val="24"/>
                <w:lang w:val="en-US" w:eastAsia="zh-CN"/>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 xml:space="preserve">负责展前媒体邀约及展后到场媒体网络发布的回执跟踪。 </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vMerge w:val="continue"/>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97" w:type="dxa"/>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活动管理</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现场执行</w:t>
            </w: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展期内和新闻发布会现场宣传相关工作执行，包括媒体对接、签到、协助组委会组织各项活动等。</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7天、600余位媒体具体需求落实</w:t>
            </w:r>
          </w:p>
        </w:tc>
        <w:tc>
          <w:tcPr>
            <w:tcW w:w="577" w:type="dxa"/>
            <w:shd w:val="clear" w:color="auto" w:fill="auto"/>
            <w:noWrap w:val="0"/>
            <w:vAlign w:val="center"/>
          </w:tcPr>
          <w:p>
            <w:pPr>
              <w:spacing w:line="360" w:lineRule="auto"/>
              <w:rPr>
                <w:rFonts w:hint="eastAsia" w:eastAsia="仿宋_GB2312"/>
                <w:sz w:val="24"/>
                <w:lang w:eastAsia="zh-CN"/>
              </w:rPr>
            </w:pPr>
            <w:r>
              <w:rPr>
                <w:rFonts w:hint="eastAsia" w:eastAsia="仿宋_GB2312"/>
                <w:sz w:val="24"/>
                <w:lang w:val="en-US" w:eastAsia="zh-CN"/>
              </w:rPr>
              <w:t>套</w:t>
            </w:r>
          </w:p>
        </w:tc>
        <w:tc>
          <w:tcPr>
            <w:tcW w:w="1578" w:type="dxa"/>
            <w:shd w:val="clear" w:color="auto" w:fill="auto"/>
            <w:noWrap w:val="0"/>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restart"/>
            <w:shd w:val="clear" w:color="auto" w:fill="auto"/>
            <w:noWrap w:val="0"/>
            <w:vAlign w:val="center"/>
          </w:tcPr>
          <w:p>
            <w:pPr>
              <w:spacing w:line="360" w:lineRule="auto"/>
              <w:rPr>
                <w:rFonts w:hint="eastAsia" w:eastAsia="仿宋_GB2312"/>
                <w:sz w:val="24"/>
              </w:rPr>
            </w:pPr>
            <w:r>
              <w:rPr>
                <w:rFonts w:hint="eastAsia" w:eastAsia="仿宋_GB2312"/>
                <w:sz w:val="24"/>
                <w:lang w:val="en-US" w:eastAsia="zh-CN"/>
              </w:rPr>
              <w:t>结案报告</w:t>
            </w:r>
          </w:p>
        </w:tc>
        <w:tc>
          <w:tcPr>
            <w:tcW w:w="1433"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报告</w:t>
            </w:r>
          </w:p>
        </w:tc>
        <w:tc>
          <w:tcPr>
            <w:tcW w:w="6900"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 xml:space="preserve">大会结束整体网络宣传媒体清单链接回执报告 </w:t>
            </w:r>
          </w:p>
        </w:tc>
        <w:tc>
          <w:tcPr>
            <w:tcW w:w="1878"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1</w:t>
            </w:r>
          </w:p>
        </w:tc>
        <w:tc>
          <w:tcPr>
            <w:tcW w:w="577"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份</w:t>
            </w: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展会期间每日舆情数据报告</w:t>
            </w:r>
            <w:r>
              <w:rPr>
                <w:rFonts w:hint="eastAsia" w:eastAsia="仿宋_GB2312"/>
                <w:sz w:val="24"/>
                <w:lang w:val="en-US" w:eastAsia="zh-CN"/>
              </w:rPr>
              <w:t>及舆情监测服务</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4</w:t>
            </w:r>
          </w:p>
        </w:tc>
        <w:tc>
          <w:tcPr>
            <w:tcW w:w="577" w:type="dxa"/>
            <w:vMerge w:val="continue"/>
            <w:shd w:val="clear" w:color="auto" w:fill="auto"/>
            <w:noWrap/>
            <w:vAlign w:val="center"/>
          </w:tcPr>
          <w:p>
            <w:pPr>
              <w:spacing w:line="360" w:lineRule="auto"/>
              <w:rPr>
                <w:rFonts w:hint="default" w:eastAsia="仿宋_GB2312"/>
                <w:sz w:val="24"/>
                <w:lang w:val="en-US" w:eastAsia="zh-CN"/>
              </w:rPr>
            </w:pPr>
          </w:p>
        </w:tc>
        <w:tc>
          <w:tcPr>
            <w:tcW w:w="1578" w:type="dxa"/>
            <w:shd w:val="clear" w:color="auto" w:fill="auto"/>
            <w:noWrap/>
            <w:vAlign w:val="center"/>
          </w:tcPr>
          <w:p>
            <w:pPr>
              <w:spacing w:line="360" w:lineRule="auto"/>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continue"/>
            <w:shd w:val="clear" w:color="auto" w:fill="auto"/>
            <w:noWrap w:val="0"/>
            <w:vAlign w:val="center"/>
          </w:tcPr>
          <w:p>
            <w:pPr>
              <w:spacing w:line="360" w:lineRule="auto"/>
              <w:rPr>
                <w:rFonts w:hint="default" w:eastAsia="仿宋_GB2312"/>
                <w:sz w:val="24"/>
                <w:lang w:val="en-US" w:eastAsia="zh-CN"/>
              </w:rPr>
            </w:pPr>
          </w:p>
        </w:tc>
        <w:tc>
          <w:tcPr>
            <w:tcW w:w="1433" w:type="dxa"/>
            <w:vMerge w:val="continue"/>
            <w:shd w:val="clear" w:color="auto" w:fill="auto"/>
            <w:noWrap/>
            <w:vAlign w:val="center"/>
          </w:tcPr>
          <w:p>
            <w:pPr>
              <w:spacing w:line="360" w:lineRule="auto"/>
              <w:rPr>
                <w:rFonts w:hint="default" w:eastAsia="仿宋_GB2312"/>
                <w:sz w:val="24"/>
                <w:lang w:val="en-US" w:eastAsia="zh-CN"/>
              </w:rPr>
            </w:pP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会后</w:t>
            </w:r>
            <w:r>
              <w:rPr>
                <w:rFonts w:hint="default" w:eastAsia="仿宋_GB2312"/>
                <w:sz w:val="24"/>
                <w:lang w:val="en-US" w:eastAsia="zh-CN"/>
              </w:rPr>
              <w:t>整体舆情分析报告</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577" w:type="dxa"/>
            <w:vMerge w:val="continue"/>
            <w:shd w:val="clear" w:color="auto" w:fill="auto"/>
            <w:noWrap/>
            <w:vAlign w:val="center"/>
          </w:tcPr>
          <w:p>
            <w:pPr>
              <w:spacing w:line="360" w:lineRule="auto"/>
              <w:rPr>
                <w:rFonts w:hint="default" w:eastAsia="仿宋_GB2312"/>
                <w:sz w:val="24"/>
                <w:lang w:val="en-US" w:eastAsia="zh-CN"/>
              </w:rPr>
            </w:pPr>
          </w:p>
        </w:tc>
        <w:tc>
          <w:tcPr>
            <w:tcW w:w="1578" w:type="dxa"/>
            <w:shd w:val="clear" w:color="auto" w:fill="auto"/>
            <w:noWrap/>
            <w:vAlign w:val="center"/>
          </w:tcPr>
          <w:p>
            <w:pPr>
              <w:spacing w:line="360" w:lineRule="auto"/>
              <w:rPr>
                <w:rFonts w:hint="default" w:eastAsia="仿宋_GB2312"/>
                <w:sz w:val="24"/>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16074933"/>
      <w:bookmarkStart w:id="98" w:name="_Toc417294351"/>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16074934"/>
      <w:bookmarkStart w:id="101" w:name="_Toc50018074"/>
      <w:bookmarkStart w:id="102" w:name="_Toc417294352"/>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hint="eastAsia" w:eastAsia="仿宋_GB2312"/>
                <w:sz w:val="24"/>
                <w:lang w:val="en-US" w:eastAsia="zh-CN"/>
              </w:rPr>
              <w:t>2021</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hint="eastAsia" w:eastAsia="仿宋_GB2312"/>
                <w:sz w:val="24"/>
                <w:lang w:val="en-US" w:eastAsia="zh-CN"/>
              </w:rPr>
              <w:t>2022</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417294359"/>
      <w:bookmarkStart w:id="104" w:name="_Toc16074942"/>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楷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w:t>
    </w:r>
    <w:r>
      <w:rPr>
        <w:rFonts w:hint="eastAsia"/>
        <w:lang w:val="en-US" w:eastAsia="zh-CN"/>
      </w:rPr>
      <w:t>3</w:t>
    </w:r>
    <w:r>
      <w:rPr>
        <w:rFonts w:hint="eastAsia"/>
      </w:rPr>
      <w:t>世界机器人大会传播策划及内容制作服务项目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YzMwYjA3OGEyOGVlYTJkNzA4MTZjZjdmMGVhMTQifQ=="/>
  </w:docVars>
  <w:rsids>
    <w:rsidRoot w:val="65E82B91"/>
    <w:rsid w:val="05971A3E"/>
    <w:rsid w:val="079C1888"/>
    <w:rsid w:val="08A34695"/>
    <w:rsid w:val="09C32242"/>
    <w:rsid w:val="0D70006B"/>
    <w:rsid w:val="0FE179AE"/>
    <w:rsid w:val="10F272B5"/>
    <w:rsid w:val="13454F45"/>
    <w:rsid w:val="1EDF0109"/>
    <w:rsid w:val="232B1FC4"/>
    <w:rsid w:val="287F5FEE"/>
    <w:rsid w:val="2B514D73"/>
    <w:rsid w:val="2C173242"/>
    <w:rsid w:val="32A35DCB"/>
    <w:rsid w:val="3F6774F5"/>
    <w:rsid w:val="430D368B"/>
    <w:rsid w:val="458E63DF"/>
    <w:rsid w:val="45E2478A"/>
    <w:rsid w:val="48AA1F4D"/>
    <w:rsid w:val="4BED7CAA"/>
    <w:rsid w:val="4E1F4272"/>
    <w:rsid w:val="4F652EFD"/>
    <w:rsid w:val="50A346C6"/>
    <w:rsid w:val="57721B40"/>
    <w:rsid w:val="5E0558A5"/>
    <w:rsid w:val="5EB44B9A"/>
    <w:rsid w:val="61A11AC9"/>
    <w:rsid w:val="62690915"/>
    <w:rsid w:val="65E82B91"/>
    <w:rsid w:val="678F7045"/>
    <w:rsid w:val="67A601CB"/>
    <w:rsid w:val="685E4E9D"/>
    <w:rsid w:val="688974FA"/>
    <w:rsid w:val="6A431905"/>
    <w:rsid w:val="6BC339B8"/>
    <w:rsid w:val="6C944351"/>
    <w:rsid w:val="6FD46AA0"/>
    <w:rsid w:val="712E6CCB"/>
    <w:rsid w:val="7AD4466B"/>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5238</Words>
  <Characters>5696</Characters>
  <Lines>0</Lines>
  <Paragraphs>0</Paragraphs>
  <TotalTime>224</TotalTime>
  <ScaleCrop>false</ScaleCrop>
  <LinksUpToDate>false</LinksUpToDate>
  <CharactersWithSpaces>6481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用户</cp:lastModifiedBy>
  <cp:lastPrinted>2021-07-07T05:30:00Z</cp:lastPrinted>
  <dcterms:modified xsi:type="dcterms:W3CDTF">2023-07-06T07:39:23Z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4D518B3ABB5343DF854FA9B5EC14C88E</vt:lpwstr>
  </property>
</Properties>
</file>