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5"/>
          <w:tab w:val="left" w:pos="2625"/>
        </w:tabs>
        <w:spacing w:line="240" w:lineRule="auto"/>
        <w:jc w:val="center"/>
        <w:rPr>
          <w:rFonts w:hint="eastAsia" w:ascii="方正小标宋简体" w:hAnsi="方正小标宋简体" w:eastAsia="方正小标宋简体" w:cs="方正小标宋简体"/>
          <w:kern w:val="44"/>
          <w:sz w:val="44"/>
          <w:szCs w:val="44"/>
          <w:lang w:eastAsia="zh-CN"/>
        </w:rPr>
      </w:pPr>
      <w:r>
        <w:rPr>
          <w:rFonts w:hint="eastAsia" w:ascii="方正小标宋简体" w:hAnsi="方正小标宋简体" w:eastAsia="方正小标宋简体" w:cs="方正小标宋简体"/>
          <w:kern w:val="44"/>
          <w:sz w:val="44"/>
          <w:szCs w:val="44"/>
        </w:rPr>
        <w:t>中国电子学会-智芯科研专项</w:t>
      </w:r>
      <w:r>
        <w:rPr>
          <w:rFonts w:hint="eastAsia" w:ascii="方正小标宋简体" w:hAnsi="方正小标宋简体" w:eastAsia="方正小标宋简体" w:cs="方正小标宋简体"/>
          <w:kern w:val="44"/>
          <w:sz w:val="44"/>
          <w:szCs w:val="44"/>
          <w:lang w:eastAsia="zh-CN"/>
        </w:rPr>
        <w:t>（</w:t>
      </w:r>
      <w:r>
        <w:rPr>
          <w:rFonts w:hint="eastAsia" w:ascii="方正小标宋简体" w:hAnsi="方正小标宋简体" w:eastAsia="方正小标宋简体" w:cs="方正小标宋简体"/>
          <w:kern w:val="44"/>
          <w:sz w:val="44"/>
          <w:szCs w:val="44"/>
          <w:lang w:val="en-US" w:eastAsia="zh-CN"/>
        </w:rPr>
        <w:t>2022</w:t>
      </w:r>
      <w:r>
        <w:rPr>
          <w:rFonts w:hint="eastAsia" w:ascii="方正小标宋简体" w:hAnsi="方正小标宋简体" w:eastAsia="方正小标宋简体" w:cs="方正小标宋简体"/>
          <w:kern w:val="44"/>
          <w:sz w:val="44"/>
          <w:szCs w:val="44"/>
          <w:lang w:eastAsia="zh-CN"/>
        </w:rPr>
        <w:t>）</w:t>
      </w:r>
    </w:p>
    <w:p>
      <w:pPr>
        <w:tabs>
          <w:tab w:val="left" w:pos="615"/>
          <w:tab w:val="left" w:pos="2625"/>
        </w:tabs>
        <w:spacing w:line="240" w:lineRule="auto"/>
        <w:jc w:val="center"/>
        <w:rPr>
          <w:rFonts w:hint="default" w:ascii="微软雅黑" w:hAnsi="微软雅黑" w:eastAsia="方正小标宋简体"/>
          <w:kern w:val="44"/>
          <w:sz w:val="32"/>
          <w:szCs w:val="32"/>
          <w:lang w:val="en-US" w:eastAsia="zh-CN"/>
        </w:rPr>
      </w:pPr>
      <w:r>
        <w:rPr>
          <w:rFonts w:hint="eastAsia" w:ascii="方正小标宋简体" w:hAnsi="方正小标宋简体" w:eastAsia="方正小标宋简体" w:cs="方正小标宋简体"/>
          <w:kern w:val="44"/>
          <w:sz w:val="44"/>
          <w:szCs w:val="44"/>
          <w:lang w:val="en-US" w:eastAsia="zh-CN"/>
        </w:rPr>
        <w:t>申报主题及说明</w:t>
      </w:r>
      <w:bookmarkStart w:id="0" w:name="_GoBack"/>
      <w:bookmarkEnd w:id="0"/>
    </w:p>
    <w:p>
      <w:pPr>
        <w:tabs>
          <w:tab w:val="left" w:pos="615"/>
          <w:tab w:val="left" w:pos="2625"/>
        </w:tabs>
        <w:spacing w:line="480" w:lineRule="exact"/>
        <w:ind w:firstLine="640" w:firstLineChars="200"/>
        <w:rPr>
          <w:rFonts w:hint="eastAsia" w:ascii="Times New Roman" w:hAnsi="Times New Roman"/>
          <w:kern w:val="44"/>
          <w:sz w:val="32"/>
          <w:szCs w:val="32"/>
          <w:lang w:val="en-US" w:eastAsia="zh-CN"/>
        </w:rPr>
      </w:pPr>
    </w:p>
    <w:p>
      <w:pPr>
        <w:tabs>
          <w:tab w:val="left" w:pos="615"/>
          <w:tab w:val="left" w:pos="2625"/>
        </w:tabs>
        <w:spacing w:line="240" w:lineRule="auto"/>
        <w:ind w:firstLine="640" w:firstLineChars="200"/>
        <w:rPr>
          <w:rFonts w:hint="eastAsia" w:ascii="黑体" w:hAnsi="黑体" w:eastAsia="黑体" w:cs="黑体"/>
          <w:sz w:val="32"/>
          <w:szCs w:val="32"/>
        </w:rPr>
      </w:pPr>
      <w:r>
        <w:rPr>
          <w:rFonts w:hint="eastAsia" w:ascii="黑体" w:hAnsi="黑体" w:eastAsia="黑体" w:cs="黑体"/>
          <w:kern w:val="44"/>
          <w:sz w:val="32"/>
          <w:szCs w:val="32"/>
          <w:lang w:val="en-US" w:eastAsia="zh-CN"/>
        </w:rPr>
        <w:t>一、</w:t>
      </w:r>
      <w:r>
        <w:rPr>
          <w:rFonts w:hint="eastAsia" w:ascii="黑体" w:hAnsi="黑体" w:eastAsia="黑体" w:cs="黑体"/>
          <w:sz w:val="32"/>
          <w:szCs w:val="32"/>
        </w:rPr>
        <w:t>芯片可靠性失效机理及原子级缺陷表征技术</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所属领域</w:t>
      </w:r>
    </w:p>
    <w:p>
      <w:pPr>
        <w:tabs>
          <w:tab w:val="left" w:pos="615"/>
          <w:tab w:val="left" w:pos="2625"/>
        </w:tabs>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芯片可靠性与工业安全</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建议研究方向</w:t>
      </w:r>
    </w:p>
    <w:p>
      <w:pPr>
        <w:tabs>
          <w:tab w:val="left" w:pos="615"/>
          <w:tab w:val="left" w:pos="2625"/>
        </w:tabs>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研究工业模拟芯片可靠性原子级敏感缺陷类型与位置，获得精确的可靠性原子缺陷表征方法；研究缺陷的产生、移动、转化、消失/钝化等原子级动态累积过程，揭示缺陷随多物理场环境的累积规律以及对器件电学特性退化的影响机理。</w:t>
      </w:r>
    </w:p>
    <w:p>
      <w:pPr>
        <w:numPr>
          <w:ilvl w:val="0"/>
          <w:numId w:val="1"/>
        </w:num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开展仿真或芯片原型验证，功能/性能满足: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（1）提出1套面向工业模拟芯片可靠性敏感缺陷的表征方法，具备表征点、线、面、体缺陷或界面态缺陷的能力；</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（2）提出电磁热多物理场下缺陷累积机理分析，形成1种典型敏感缺陷累积对器件电学特性退化规律。</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二、工业设备振动状态智能感知分析技术</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所属领域</w:t>
      </w:r>
    </w:p>
    <w:p>
      <w:pPr>
        <w:tabs>
          <w:tab w:val="left" w:pos="615"/>
          <w:tab w:val="left" w:pos="2625"/>
        </w:tabs>
        <w:spacing w:line="240" w:lineRule="auto"/>
        <w:ind w:firstLine="960" w:firstLineChars="300"/>
        <w:rPr>
          <w:rFonts w:hint="eastAsia" w:ascii="仿宋" w:hAnsi="仿宋" w:eastAsia="仿宋" w:cs="仿宋"/>
          <w:bCs/>
          <w:sz w:val="32"/>
          <w:szCs w:val="32"/>
        </w:rPr>
      </w:pPr>
      <w:r>
        <w:rPr>
          <w:rFonts w:hint="eastAsia" w:ascii="仿宋" w:hAnsi="仿宋" w:eastAsia="仿宋" w:cs="仿宋"/>
          <w:bCs/>
          <w:sz w:val="32"/>
          <w:szCs w:val="32"/>
        </w:rPr>
        <w:t>通信与智能感知</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建议研究方向</w:t>
      </w:r>
    </w:p>
    <w:p>
      <w:pPr>
        <w:tabs>
          <w:tab w:val="left" w:pos="615"/>
          <w:tab w:val="left" w:pos="2625"/>
        </w:tabs>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研究设备表面振动特性、异常检测技术，提出设备振动数据的压缩感知处理方法；针对工业设备智慧运维管理应用需求，研究给出设备振动信号的高效压缩和无监督特征提取方法。</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开展仿真或产品原型验证，功能/性能满足: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bidi="ar"/>
        </w:rPr>
        <w:t>设备振动</w:t>
      </w:r>
      <w:r>
        <w:rPr>
          <w:rFonts w:hint="eastAsia" w:ascii="仿宋" w:hAnsi="仿宋" w:eastAsia="仿宋" w:cs="仿宋"/>
          <w:sz w:val="32"/>
          <w:szCs w:val="32"/>
        </w:rPr>
        <w:t>数据压缩感知处理方法，数据压缩率不低于20%；</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（2）设备振动数据无监督特征提取方法，特征提取准确率不低于95%。</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三、双模通信抗噪声干扰关键技术</w:t>
      </w:r>
    </w:p>
    <w:p>
      <w:pPr>
        <w:tabs>
          <w:tab w:val="left" w:pos="615"/>
          <w:tab w:val="left" w:pos="2625"/>
        </w:tabs>
        <w:spacing w:line="24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所属领域</w:t>
      </w:r>
    </w:p>
    <w:p>
      <w:pPr>
        <w:tabs>
          <w:tab w:val="left" w:pos="615"/>
          <w:tab w:val="left" w:pos="2625"/>
        </w:tabs>
        <w:spacing w:line="240" w:lineRule="auto"/>
        <w:ind w:firstLine="960" w:firstLineChars="300"/>
        <w:outlineLvl w:val="0"/>
        <w:rPr>
          <w:rFonts w:hint="eastAsia" w:ascii="仿宋" w:hAnsi="仿宋" w:eastAsia="仿宋" w:cs="仿宋"/>
          <w:sz w:val="32"/>
          <w:szCs w:val="32"/>
        </w:rPr>
      </w:pPr>
      <w:r>
        <w:rPr>
          <w:rFonts w:hint="eastAsia" w:ascii="仿宋" w:hAnsi="仿宋" w:eastAsia="仿宋" w:cs="仿宋"/>
          <w:sz w:val="32"/>
          <w:szCs w:val="32"/>
        </w:rPr>
        <w:t>通信与智能感知</w:t>
      </w:r>
    </w:p>
    <w:p>
      <w:pPr>
        <w:numPr>
          <w:ilvl w:val="0"/>
          <w:numId w:val="2"/>
        </w:numPr>
        <w:tabs>
          <w:tab w:val="left" w:pos="615"/>
          <w:tab w:val="left" w:pos="2625"/>
        </w:tabs>
        <w:spacing w:line="24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建议研究方向</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bCs/>
          <w:sz w:val="32"/>
          <w:szCs w:val="32"/>
        </w:rPr>
        <w:t>研究多源接入的复杂环境下，高速载波和微功率无线双模通信的抗噪声干扰关键技术：</w:t>
      </w:r>
      <w:r>
        <w:rPr>
          <w:rFonts w:hint="eastAsia" w:ascii="仿宋" w:hAnsi="仿宋" w:eastAsia="仿宋" w:cs="仿宋"/>
          <w:b w:val="0"/>
          <w:bCs/>
          <w:sz w:val="32"/>
          <w:szCs w:val="32"/>
        </w:rPr>
        <w:t>分析高比例新能源接入条件下通信信道特征变化及其对通信的影响，针对光伏逆变器、电动汽车充电等不少于5种典型设备噪声特性以及信号特征进行提取建模，研究高速载波和微功率无线双模通信的抗组合噪声性能提升技术；调查研究无线频谱信道资源占用情况，研究无线频率信道干扰规避策略</w:t>
      </w:r>
      <w:r>
        <w:rPr>
          <w:rFonts w:hint="eastAsia" w:ascii="仿宋" w:hAnsi="仿宋" w:eastAsia="仿宋" w:cs="仿宋"/>
          <w:sz w:val="32"/>
          <w:szCs w:val="32"/>
        </w:rPr>
        <w:t>。</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开展仿真验证，功能/性能满足: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(1)典型设备噪声种类不少于5种；</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(2)相比现有载波通信技术，抗组合噪声性能提升≥6dB;</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(3)无线干扰规避策略不少于3种。</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四、混合能量收集芯片关键技术</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所属领域</w:t>
      </w:r>
    </w:p>
    <w:p>
      <w:pPr>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芯片设计</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建议研究方向</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研究混合能量收集专用芯片系统架构和关键技术：研究高效率全集成的压电整流技术；研究电磁兼容性良好的全集成DC-DC转换器技术及多源共存下的最大功率跟踪技术。</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.主要技术指标</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开展仿真或芯片原型验证，性能满足:</w:t>
      </w:r>
    </w:p>
    <w:p>
      <w:pPr>
        <w:pStyle w:val="11"/>
        <w:numPr>
          <w:ilvl w:val="0"/>
          <w:numId w:val="3"/>
        </w:numPr>
        <w:spacing w:line="240" w:lineRule="auto"/>
        <w:ind w:firstLineChars="0"/>
        <w:rPr>
          <w:rFonts w:hint="eastAsia" w:ascii="仿宋" w:hAnsi="仿宋" w:eastAsia="仿宋" w:cs="仿宋"/>
          <w:sz w:val="32"/>
          <w:szCs w:val="32"/>
        </w:rPr>
      </w:pPr>
      <w:r>
        <w:rPr>
          <w:rFonts w:hint="eastAsia" w:ascii="仿宋" w:hAnsi="仿宋" w:eastAsia="仿宋" w:cs="仿宋"/>
          <w:sz w:val="32"/>
          <w:szCs w:val="32"/>
        </w:rPr>
        <w:t>混合能量收集系统冷启动电压&lt;0.5V，输出电压范围1.8V~3.3V；</w:t>
      </w:r>
    </w:p>
    <w:p>
      <w:pPr>
        <w:pStyle w:val="11"/>
        <w:numPr>
          <w:ilvl w:val="0"/>
          <w:numId w:val="3"/>
        </w:numPr>
        <w:spacing w:line="240" w:lineRule="auto"/>
        <w:ind w:firstLineChars="0"/>
        <w:rPr>
          <w:rFonts w:hint="eastAsia" w:ascii="仿宋" w:hAnsi="仿宋" w:eastAsia="仿宋" w:cs="仿宋"/>
          <w:sz w:val="32"/>
          <w:szCs w:val="32"/>
        </w:rPr>
      </w:pPr>
      <w:r>
        <w:rPr>
          <w:rFonts w:hint="eastAsia" w:ascii="仿宋" w:hAnsi="仿宋" w:eastAsia="仿宋" w:cs="仿宋"/>
          <w:sz w:val="32"/>
          <w:szCs w:val="32"/>
        </w:rPr>
        <w:t>能量融合效率大于65%；</w:t>
      </w:r>
    </w:p>
    <w:p>
      <w:pPr>
        <w:pStyle w:val="11"/>
        <w:numPr>
          <w:ilvl w:val="0"/>
          <w:numId w:val="3"/>
        </w:numPr>
        <w:spacing w:line="240" w:lineRule="auto"/>
        <w:ind w:firstLineChars="0"/>
        <w:rPr>
          <w:rFonts w:hint="eastAsia" w:ascii="仿宋" w:hAnsi="仿宋" w:eastAsia="仿宋" w:cs="仿宋"/>
          <w:sz w:val="32"/>
          <w:szCs w:val="32"/>
        </w:rPr>
      </w:pPr>
      <w:r>
        <w:rPr>
          <w:rFonts w:hint="eastAsia" w:ascii="仿宋" w:hAnsi="仿宋" w:eastAsia="仿宋" w:cs="仿宋"/>
          <w:sz w:val="32"/>
          <w:szCs w:val="32"/>
        </w:rPr>
        <w:t>压电采集器启动电压&lt;0.7V。</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五、高性能低功耗数字锁相环</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.所属领域</w:t>
      </w:r>
    </w:p>
    <w:p>
      <w:pPr>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芯片设计</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建议研究方向</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数字锁相环的宽调谐多路输出技术，以满足系统的复杂时钟需求；研究type-Ⅱ数字锁相环的高频时钟低抖动技术，以提高ADC等模块的精度和线性度；研究基于Duty-Cycle工作模式下的高性能数字锁相环低功耗技术及基于两级相位捕获的快速锁定技术，以降低系统功耗。</w:t>
      </w:r>
    </w:p>
    <w:p>
      <w:pPr>
        <w:numPr>
          <w:ilvl w:val="0"/>
          <w:numId w:val="2"/>
        </w:numPr>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主要技术指标</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开展仿真或芯片原型验证，性能满足:</w:t>
      </w:r>
    </w:p>
    <w:p>
      <w:pPr>
        <w:pStyle w:val="11"/>
        <w:numPr>
          <w:ilvl w:val="-1"/>
          <w:numId w:val="0"/>
        </w:numPr>
        <w:spacing w:line="24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输出频率范围：1MHz~2GHz，支持多通道频率输出、小数分频及bypass功能，且锁定时间＜15us；</w:t>
      </w:r>
    </w:p>
    <w:p>
      <w:pPr>
        <w:pStyle w:val="11"/>
        <w:numPr>
          <w:ilvl w:val="-1"/>
          <w:numId w:val="0"/>
        </w:numPr>
        <w:spacing w:line="24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RMS jitter：＜1.5ps@1.6GHz；</w:t>
      </w:r>
    </w:p>
    <w:p>
      <w:pPr>
        <w:pStyle w:val="11"/>
        <w:numPr>
          <w:ilvl w:val="-1"/>
          <w:numId w:val="0"/>
        </w:numPr>
        <w:spacing w:line="240" w:lineRule="auto"/>
        <w:ind w:left="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功耗：＜5mW@2GHz。</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六、RISC-V架构工业控制处理器体系结构模拟器</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所属领域</w:t>
      </w:r>
    </w:p>
    <w:p>
      <w:pPr>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芯片设计</w:t>
      </w:r>
    </w:p>
    <w:p>
      <w:pPr>
        <w:numPr>
          <w:ilvl w:val="0"/>
          <w:numId w:val="4"/>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建议研究方向</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面向工业级RISC-V处理器可灵活配置的计算机体系结构模拟器，同时支持处理器、存储和外设等系统模拟；研究RISC-V计算机体系结构模拟器的可靠性和安全性技术，包括寄存器、流水线和存储校验，双核锁步等。</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.主要技术指标</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开展仿真或原型验证，性能满足:</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（1）支持RISC-V中的各指令子集IMAFDVBC及用户自定义指令子集的灵活配置；</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（2）支持TSO/PSO/RVWMO存储模型可配；</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（3）支持多核SMP/AMP系统模拟。</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七、轴向预紧力传感器材料及宽温区标定算法</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所属领域</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传感器</w:t>
      </w:r>
    </w:p>
    <w:p>
      <w:pPr>
        <w:numPr>
          <w:ilvl w:val="0"/>
          <w:numId w:val="0"/>
        </w:numPr>
        <w:tabs>
          <w:tab w:val="left" w:pos="615"/>
          <w:tab w:val="left" w:pos="2625"/>
        </w:tabs>
        <w:spacing w:line="240" w:lineRule="auto"/>
        <w:ind w:leftChars="200"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建议研究方向</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研究轴向预紧力传感器介质材料；研究传感器的宽温区标定算法模型，并在真实环境下验证算法的准确性。</w:t>
      </w:r>
    </w:p>
    <w:p>
      <w:pPr>
        <w:numPr>
          <w:ilvl w:val="0"/>
          <w:numId w:val="4"/>
        </w:numPr>
        <w:tabs>
          <w:tab w:val="left" w:pos="615"/>
          <w:tab w:val="left" w:pos="2625"/>
        </w:tabs>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开展仿真或原型验证，功能/性能满足: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（1）测量范围：0至100kN；</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（2）测量误差：＜5%； </w:t>
      </w:r>
    </w:p>
    <w:p>
      <w:pPr>
        <w:tabs>
          <w:tab w:val="left" w:pos="615"/>
          <w:tab w:val="left" w:pos="2625"/>
        </w:tabs>
        <w:spacing w:line="240" w:lineRule="auto"/>
        <w:ind w:firstLine="640" w:firstLineChars="200"/>
        <w:rPr>
          <w:rFonts w:hint="eastAsia" w:ascii="仿宋" w:hAnsi="仿宋" w:eastAsia="仿宋" w:cs="仿宋"/>
          <w:kern w:val="44"/>
          <w:sz w:val="32"/>
          <w:szCs w:val="32"/>
        </w:rPr>
      </w:pPr>
      <w:r>
        <w:rPr>
          <w:rFonts w:hint="eastAsia" w:ascii="仿宋" w:hAnsi="仿宋" w:eastAsia="仿宋" w:cs="仿宋"/>
          <w:sz w:val="32"/>
          <w:szCs w:val="32"/>
        </w:rPr>
        <w:t>（3）工作温度：-40℃至+85℃。</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八、声发射传感器压电器件能量感知及传输理论</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.所属领域</w:t>
      </w:r>
    </w:p>
    <w:p>
      <w:pPr>
        <w:tabs>
          <w:tab w:val="left" w:pos="615"/>
          <w:tab w:val="left" w:pos="2625"/>
        </w:tabs>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传感器</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.建议研究方向</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研究面向工业状态监测的声发射传感器压电器件能量感知及传输理论；研究声发射传感器压电器件多物理场耦合仿真分析技术；验证声发射传感器压电器件能量感知及传输理论正确性。</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开展仿真或原型验证，功能/性能满足: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（1）机电耦合系数：＞0.7；</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（2）频率带宽：100kHz～400kHz。</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九、高灵敏低噪声磁敏电流传感芯片关键技术</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.所属领域</w:t>
      </w:r>
    </w:p>
    <w:p>
      <w:pPr>
        <w:tabs>
          <w:tab w:val="left" w:pos="615"/>
          <w:tab w:val="left" w:pos="2625"/>
        </w:tabs>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传感器</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.建议研究方向</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新型磁性隧道结材料，提高磁性隧道结的磁电阻比值、线性响应度、磁场灵敏度、提高钉扎层的钉扎效果和抗外磁场干扰能力等；研究TMR磁敏传感器的伺服电路，提高磁性隧道结的抗大电压电流脉冲的击穿能力等。</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开展仿真或芯片原型验证，性能满足: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（1）灵敏度≥10mV/V/Oe;</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（2）电阻噪音≤100nT/√Hz@1Hz量级及以下。</w:t>
      </w:r>
    </w:p>
    <w:p>
      <w:pPr>
        <w:tabs>
          <w:tab w:val="left" w:pos="615"/>
          <w:tab w:val="left" w:pos="2625"/>
        </w:tabs>
        <w:spacing w:line="240" w:lineRule="auto"/>
        <w:ind w:firstLine="640" w:firstLineChars="200"/>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十、高灵敏度CMOS 3D霍尔传感器技术</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.所属领域</w:t>
      </w:r>
    </w:p>
    <w:p>
      <w:pPr>
        <w:tabs>
          <w:tab w:val="left" w:pos="615"/>
          <w:tab w:val="left" w:pos="2625"/>
        </w:tabs>
        <w:spacing w:line="24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传感器</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.建议研究方向</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探索不同结构的3D霍尔器件的设计方法，建立简化、实用、高精度的传感器模型，确保模型通用性和可移植性；研究霍尔传感器动态失调消除技术，减小输出霍尔信号的残余失调和非线性失真，提高3D霍尔传感器的精度。</w:t>
      </w:r>
    </w:p>
    <w:p>
      <w:pPr>
        <w:tabs>
          <w:tab w:val="left" w:pos="615"/>
          <w:tab w:val="left" w:pos="2625"/>
        </w:tabs>
        <w:spacing w:line="24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.主要技术指标</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功能/性能满足:</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（1）输出高电平电压（VOH） ≥ 98 %VDD；</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（2）输出电压线性度≥99％；</w:t>
      </w:r>
    </w:p>
    <w:p>
      <w:pPr>
        <w:tabs>
          <w:tab w:val="left" w:pos="615"/>
          <w:tab w:val="left" w:pos="2625"/>
        </w:tabs>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（3）模型精确度≥98%。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7460"/>
    <w:multiLevelType w:val="singleLevel"/>
    <w:tmpl w:val="869A7460"/>
    <w:lvl w:ilvl="0" w:tentative="0">
      <w:start w:val="2"/>
      <w:numFmt w:val="decimal"/>
      <w:suff w:val="space"/>
      <w:lvlText w:val="%1."/>
      <w:lvlJc w:val="left"/>
    </w:lvl>
  </w:abstractNum>
  <w:abstractNum w:abstractNumId="1">
    <w:nsid w:val="BEC00232"/>
    <w:multiLevelType w:val="singleLevel"/>
    <w:tmpl w:val="BEC00232"/>
    <w:lvl w:ilvl="0" w:tentative="0">
      <w:start w:val="3"/>
      <w:numFmt w:val="decimal"/>
      <w:suff w:val="space"/>
      <w:lvlText w:val="%1."/>
      <w:lvlJc w:val="left"/>
    </w:lvl>
  </w:abstractNum>
  <w:abstractNum w:abstractNumId="2">
    <w:nsid w:val="E46C6559"/>
    <w:multiLevelType w:val="singleLevel"/>
    <w:tmpl w:val="E46C6559"/>
    <w:lvl w:ilvl="0" w:tentative="0">
      <w:start w:val="2"/>
      <w:numFmt w:val="decimal"/>
      <w:suff w:val="space"/>
      <w:lvlText w:val="%1."/>
      <w:lvlJc w:val="left"/>
    </w:lvl>
  </w:abstractNum>
  <w:abstractNum w:abstractNumId="3">
    <w:nsid w:val="0A7A2C41"/>
    <w:multiLevelType w:val="multilevel"/>
    <w:tmpl w:val="0A7A2C41"/>
    <w:lvl w:ilvl="0" w:tentative="0">
      <w:start w:val="1"/>
      <w:numFmt w:val="decimal"/>
      <w:lvlText w:val="（%1）"/>
      <w:lvlJc w:val="left"/>
      <w:pPr>
        <w:ind w:left="1364" w:hanging="804"/>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5E754883"/>
    <w:rsid w:val="0000330D"/>
    <w:rsid w:val="0000723F"/>
    <w:rsid w:val="00007865"/>
    <w:rsid w:val="00020091"/>
    <w:rsid w:val="00031515"/>
    <w:rsid w:val="00041517"/>
    <w:rsid w:val="00074982"/>
    <w:rsid w:val="000A49FD"/>
    <w:rsid w:val="000A6D93"/>
    <w:rsid w:val="000B39BA"/>
    <w:rsid w:val="000B4953"/>
    <w:rsid w:val="000B51D7"/>
    <w:rsid w:val="000B53D2"/>
    <w:rsid w:val="000B5CE4"/>
    <w:rsid w:val="000E5BEC"/>
    <w:rsid w:val="000F0D55"/>
    <w:rsid w:val="001542EB"/>
    <w:rsid w:val="00176EFD"/>
    <w:rsid w:val="00181F19"/>
    <w:rsid w:val="001838B9"/>
    <w:rsid w:val="00183C4D"/>
    <w:rsid w:val="001B11FE"/>
    <w:rsid w:val="001E5926"/>
    <w:rsid w:val="00213C40"/>
    <w:rsid w:val="00217536"/>
    <w:rsid w:val="002233DC"/>
    <w:rsid w:val="00231B4C"/>
    <w:rsid w:val="002640E5"/>
    <w:rsid w:val="00267C50"/>
    <w:rsid w:val="002956AF"/>
    <w:rsid w:val="002B65B1"/>
    <w:rsid w:val="002C0C14"/>
    <w:rsid w:val="002C2725"/>
    <w:rsid w:val="002E0E54"/>
    <w:rsid w:val="002F1C1D"/>
    <w:rsid w:val="002F2C64"/>
    <w:rsid w:val="002F31A5"/>
    <w:rsid w:val="003023C5"/>
    <w:rsid w:val="003306F0"/>
    <w:rsid w:val="00330744"/>
    <w:rsid w:val="00365382"/>
    <w:rsid w:val="00375E84"/>
    <w:rsid w:val="00385117"/>
    <w:rsid w:val="003A1F6F"/>
    <w:rsid w:val="003D7C20"/>
    <w:rsid w:val="003F0CCE"/>
    <w:rsid w:val="003F7DAE"/>
    <w:rsid w:val="00413601"/>
    <w:rsid w:val="00425E18"/>
    <w:rsid w:val="0043208D"/>
    <w:rsid w:val="00456929"/>
    <w:rsid w:val="004A68A2"/>
    <w:rsid w:val="004B0FEA"/>
    <w:rsid w:val="004C3163"/>
    <w:rsid w:val="004D690B"/>
    <w:rsid w:val="00506A33"/>
    <w:rsid w:val="005142C7"/>
    <w:rsid w:val="005143C2"/>
    <w:rsid w:val="0051584E"/>
    <w:rsid w:val="0053780D"/>
    <w:rsid w:val="005B1F0B"/>
    <w:rsid w:val="005C0B28"/>
    <w:rsid w:val="005C4F69"/>
    <w:rsid w:val="006030BA"/>
    <w:rsid w:val="00610DF0"/>
    <w:rsid w:val="00610E61"/>
    <w:rsid w:val="00657C87"/>
    <w:rsid w:val="0068321B"/>
    <w:rsid w:val="006958CC"/>
    <w:rsid w:val="006C192A"/>
    <w:rsid w:val="006C5D71"/>
    <w:rsid w:val="006D5CA3"/>
    <w:rsid w:val="006E1B9F"/>
    <w:rsid w:val="006F1EB6"/>
    <w:rsid w:val="00713400"/>
    <w:rsid w:val="00714AAB"/>
    <w:rsid w:val="007403A5"/>
    <w:rsid w:val="0075020A"/>
    <w:rsid w:val="0078167D"/>
    <w:rsid w:val="00790AFD"/>
    <w:rsid w:val="007954A2"/>
    <w:rsid w:val="007A52EE"/>
    <w:rsid w:val="007B06EE"/>
    <w:rsid w:val="007D0B03"/>
    <w:rsid w:val="008022B3"/>
    <w:rsid w:val="00815AD6"/>
    <w:rsid w:val="00831BE4"/>
    <w:rsid w:val="008441D7"/>
    <w:rsid w:val="00845D37"/>
    <w:rsid w:val="00862154"/>
    <w:rsid w:val="00872409"/>
    <w:rsid w:val="00886217"/>
    <w:rsid w:val="008A32C0"/>
    <w:rsid w:val="008C0C68"/>
    <w:rsid w:val="008D4CC8"/>
    <w:rsid w:val="00902AFA"/>
    <w:rsid w:val="00912F9D"/>
    <w:rsid w:val="00917A5E"/>
    <w:rsid w:val="00930800"/>
    <w:rsid w:val="00964A8F"/>
    <w:rsid w:val="00970C6F"/>
    <w:rsid w:val="009724FA"/>
    <w:rsid w:val="0097651A"/>
    <w:rsid w:val="00982EEA"/>
    <w:rsid w:val="00991DF3"/>
    <w:rsid w:val="009B1F71"/>
    <w:rsid w:val="009F1C53"/>
    <w:rsid w:val="009F38E4"/>
    <w:rsid w:val="009F6258"/>
    <w:rsid w:val="00A06EB2"/>
    <w:rsid w:val="00A074A9"/>
    <w:rsid w:val="00A159C5"/>
    <w:rsid w:val="00A2173A"/>
    <w:rsid w:val="00A3746F"/>
    <w:rsid w:val="00A470BF"/>
    <w:rsid w:val="00A92A58"/>
    <w:rsid w:val="00AA0F69"/>
    <w:rsid w:val="00AB6170"/>
    <w:rsid w:val="00AC7C5F"/>
    <w:rsid w:val="00AD5DFA"/>
    <w:rsid w:val="00AE725D"/>
    <w:rsid w:val="00AE792A"/>
    <w:rsid w:val="00AF28E2"/>
    <w:rsid w:val="00AF57B1"/>
    <w:rsid w:val="00B5441A"/>
    <w:rsid w:val="00B56E29"/>
    <w:rsid w:val="00B844C9"/>
    <w:rsid w:val="00B875AC"/>
    <w:rsid w:val="00BA0277"/>
    <w:rsid w:val="00BB7351"/>
    <w:rsid w:val="00BC30AD"/>
    <w:rsid w:val="00BC5BBE"/>
    <w:rsid w:val="00BD563A"/>
    <w:rsid w:val="00BF4EDA"/>
    <w:rsid w:val="00C25A66"/>
    <w:rsid w:val="00C36AF9"/>
    <w:rsid w:val="00C47505"/>
    <w:rsid w:val="00C47ECC"/>
    <w:rsid w:val="00C51143"/>
    <w:rsid w:val="00C51A99"/>
    <w:rsid w:val="00C85ECC"/>
    <w:rsid w:val="00C9462E"/>
    <w:rsid w:val="00CB768D"/>
    <w:rsid w:val="00CF2D5F"/>
    <w:rsid w:val="00CF518D"/>
    <w:rsid w:val="00D04E0C"/>
    <w:rsid w:val="00D17463"/>
    <w:rsid w:val="00D40A71"/>
    <w:rsid w:val="00D43ED1"/>
    <w:rsid w:val="00D62E4A"/>
    <w:rsid w:val="00D62F94"/>
    <w:rsid w:val="00D66F69"/>
    <w:rsid w:val="00D73D63"/>
    <w:rsid w:val="00D76C7B"/>
    <w:rsid w:val="00D82262"/>
    <w:rsid w:val="00D86D58"/>
    <w:rsid w:val="00D90E48"/>
    <w:rsid w:val="00D95FE7"/>
    <w:rsid w:val="00DA6437"/>
    <w:rsid w:val="00DB00D1"/>
    <w:rsid w:val="00DB2134"/>
    <w:rsid w:val="00DB2B87"/>
    <w:rsid w:val="00DC29DF"/>
    <w:rsid w:val="00DD3DB0"/>
    <w:rsid w:val="00DE113A"/>
    <w:rsid w:val="00DE516A"/>
    <w:rsid w:val="00E066A2"/>
    <w:rsid w:val="00E12F6C"/>
    <w:rsid w:val="00E32391"/>
    <w:rsid w:val="00E44597"/>
    <w:rsid w:val="00E465F5"/>
    <w:rsid w:val="00E61CA4"/>
    <w:rsid w:val="00E64878"/>
    <w:rsid w:val="00E67CC2"/>
    <w:rsid w:val="00E74EED"/>
    <w:rsid w:val="00E862EF"/>
    <w:rsid w:val="00EA2AEA"/>
    <w:rsid w:val="00EA6B09"/>
    <w:rsid w:val="00EB7BC3"/>
    <w:rsid w:val="00EC30D0"/>
    <w:rsid w:val="00EC4C89"/>
    <w:rsid w:val="00F009B6"/>
    <w:rsid w:val="00F07861"/>
    <w:rsid w:val="00F12B92"/>
    <w:rsid w:val="00F2374E"/>
    <w:rsid w:val="00F7176F"/>
    <w:rsid w:val="00F77D84"/>
    <w:rsid w:val="00F96BAD"/>
    <w:rsid w:val="00FA1E25"/>
    <w:rsid w:val="00FA42A5"/>
    <w:rsid w:val="00FB2CD1"/>
    <w:rsid w:val="00FB537C"/>
    <w:rsid w:val="00FD0441"/>
    <w:rsid w:val="00FE3545"/>
    <w:rsid w:val="08FA3FAA"/>
    <w:rsid w:val="162F0382"/>
    <w:rsid w:val="164F7B9C"/>
    <w:rsid w:val="185B5474"/>
    <w:rsid w:val="207C66A2"/>
    <w:rsid w:val="23E83CBC"/>
    <w:rsid w:val="25A452F7"/>
    <w:rsid w:val="2CEB1710"/>
    <w:rsid w:val="2F7A71FE"/>
    <w:rsid w:val="327D450D"/>
    <w:rsid w:val="33726E4A"/>
    <w:rsid w:val="3721129A"/>
    <w:rsid w:val="3AA94F98"/>
    <w:rsid w:val="3CA722D4"/>
    <w:rsid w:val="3EF67431"/>
    <w:rsid w:val="3F1F1878"/>
    <w:rsid w:val="3FCA6421"/>
    <w:rsid w:val="41DA09DD"/>
    <w:rsid w:val="443B273D"/>
    <w:rsid w:val="44EF3FD2"/>
    <w:rsid w:val="49984D8B"/>
    <w:rsid w:val="4C0632D6"/>
    <w:rsid w:val="4D8728BD"/>
    <w:rsid w:val="510A4137"/>
    <w:rsid w:val="51D33CF1"/>
    <w:rsid w:val="538D2115"/>
    <w:rsid w:val="56AE4807"/>
    <w:rsid w:val="59CE6C10"/>
    <w:rsid w:val="5C494F71"/>
    <w:rsid w:val="5E754883"/>
    <w:rsid w:val="604C421E"/>
    <w:rsid w:val="60A74231"/>
    <w:rsid w:val="610A2B60"/>
    <w:rsid w:val="651E6BDA"/>
    <w:rsid w:val="66C14FCC"/>
    <w:rsid w:val="67054E4D"/>
    <w:rsid w:val="68B94963"/>
    <w:rsid w:val="75541485"/>
    <w:rsid w:val="771519D6"/>
    <w:rsid w:val="7A7837D5"/>
    <w:rsid w:val="7F105B23"/>
    <w:rsid w:val="7F85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34"/>
    <w:pPr>
      <w:ind w:firstLine="420" w:firstLineChars="200"/>
      <w:jc w:val="left"/>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2043</Words>
  <Characters>2265</Characters>
  <Lines>21</Lines>
  <Paragraphs>5</Paragraphs>
  <TotalTime>35</TotalTime>
  <ScaleCrop>false</ScaleCrop>
  <LinksUpToDate>false</LinksUpToDate>
  <CharactersWithSpaces>2283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2022-09-22T00:43:00Z</dcterms:created>
  <dc:creator>Kunner</dc:creator>
  <cp:lastModifiedBy>悟空</cp:lastModifiedBy>
  <dcterms:modified xsi:type="dcterms:W3CDTF">2022-10-17T09:07:17Z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011EE39041824583A11D9243CF8451C9</vt:lpwstr>
  </property>
</Properties>
</file>