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35" w:after="35" w:line="276" w:lineRule="auto"/>
        <w:rPr>
          <w:rFonts w:ascii="楷体_GB2312" w:hAnsi="楷体_GB2312" w:eastAsia="楷体_GB2312"/>
        </w:rPr>
      </w:pPr>
      <w:r>
        <w:rPr>
          <w:rFonts w:hint="eastAsia" w:ascii="楷体_GB2312" w:hAnsi="楷体_GB2312" w:eastAsia="楷体_GB2312"/>
        </w:rPr>
        <w:t>附件1</w:t>
      </w:r>
      <w:r>
        <w:rPr>
          <w:rFonts w:ascii="楷体_GB2312" w:hAnsi="楷体_GB2312" w:eastAsia="楷体_GB2312"/>
        </w:rPr>
        <w:t xml:space="preserve"> </w:t>
      </w:r>
      <w:r>
        <w:rPr>
          <w:rFonts w:hint="eastAsia" w:ascii="楷体_GB2312" w:hAnsi="楷体_GB2312" w:eastAsia="楷体_GB2312"/>
        </w:rPr>
        <w:t>夏令营议程（初定）</w:t>
      </w:r>
    </w:p>
    <w:tbl>
      <w:tblPr>
        <w:tblStyle w:val="5"/>
        <w:tblW w:w="96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9"/>
        <w:gridCol w:w="6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时间</w:t>
            </w:r>
          </w:p>
        </w:tc>
        <w:tc>
          <w:tcPr>
            <w:tcW w:w="693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3</w:t>
            </w:r>
            <w:r>
              <w:rPr>
                <w:rFonts w:hint="eastAsia" w:ascii="楷体_GB2312" w:hAnsi="楷体_GB2312" w:eastAsia="楷体_GB2312"/>
              </w:rPr>
              <w:t>日下午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报到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4</w:t>
            </w:r>
            <w:r>
              <w:rPr>
                <w:rFonts w:hint="eastAsia" w:ascii="楷体_GB2312" w:hAnsi="楷体_GB2312" w:eastAsia="楷体_GB2312"/>
              </w:rPr>
              <w:t>日上午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夏令营启动仪式</w:t>
            </w:r>
          </w:p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专家主题演讲：人工智能与学生发展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4</w:t>
            </w:r>
            <w:r>
              <w:rPr>
                <w:rFonts w:hint="eastAsia" w:ascii="楷体_GB2312" w:hAnsi="楷体_GB2312" w:eastAsia="楷体_GB2312"/>
              </w:rPr>
              <w:t>日下午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小组活动：课程资源包打磨</w:t>
            </w:r>
          </w:p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（现场提供教学设计支持和一对一指导）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5</w:t>
            </w:r>
            <w:r>
              <w:rPr>
                <w:rFonts w:hint="eastAsia" w:ascii="楷体_GB2312" w:hAnsi="楷体_GB2312" w:eastAsia="楷体_GB2312"/>
              </w:rPr>
              <w:t>日上午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专题分享：国内外人工智能课程建设概况（怎样才算好课？）</w:t>
            </w:r>
            <w:r>
              <w:rPr>
                <w:rFonts w:ascii="楷体_GB2312" w:hAnsi="楷体_GB2312" w:eastAsia="楷体_GB231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5</w:t>
            </w:r>
            <w:r>
              <w:rPr>
                <w:rFonts w:hint="eastAsia" w:ascii="楷体_GB2312" w:hAnsi="楷体_GB2312" w:eastAsia="楷体_GB2312"/>
              </w:rPr>
              <w:t>日下午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小组活动：课程资源包打磨</w:t>
            </w:r>
          </w:p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（现场提供教学设计支持和一对一指导）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6</w:t>
            </w:r>
            <w:r>
              <w:rPr>
                <w:rFonts w:hint="eastAsia" w:ascii="楷体_GB2312" w:hAnsi="楷体_GB2312" w:eastAsia="楷体_GB2312"/>
              </w:rPr>
              <w:t>日上午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专题分享：国内外人工智能课程案例分析（资源包要什么？）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6</w:t>
            </w:r>
            <w:r>
              <w:rPr>
                <w:rFonts w:hint="eastAsia" w:ascii="楷体_GB2312" w:hAnsi="楷体_GB2312" w:eastAsia="楷体_GB2312"/>
              </w:rPr>
              <w:t>日下午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小组活动：课程资源包定型</w:t>
            </w:r>
          </w:p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小组活动：准备课程展示资料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pacing w:line="276" w:lineRule="auto"/>
              <w:jc w:val="center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7月2</w:t>
            </w:r>
            <w:r>
              <w:rPr>
                <w:rFonts w:ascii="楷体_GB2312" w:hAnsi="楷体_GB2312" w:eastAsia="楷体_GB2312"/>
              </w:rPr>
              <w:t>7</w:t>
            </w:r>
            <w:r>
              <w:rPr>
                <w:rFonts w:hint="eastAsia" w:ascii="楷体_GB2312" w:hAnsi="楷体_GB2312" w:eastAsia="楷体_GB2312"/>
              </w:rPr>
              <w:t>日上午</w:t>
            </w:r>
          </w:p>
        </w:tc>
        <w:tc>
          <w:tcPr>
            <w:tcW w:w="6939" w:type="dxa"/>
          </w:tcPr>
          <w:p>
            <w:pPr>
              <w:spacing w:line="276" w:lineRule="auto"/>
              <w:rPr>
                <w:rFonts w:ascii="楷体_GB2312" w:hAnsi="楷体_GB2312" w:eastAsia="楷体_GB2312"/>
              </w:rPr>
            </w:pPr>
            <w:r>
              <w:rPr>
                <w:rFonts w:hint="eastAsia" w:ascii="楷体_GB2312" w:hAnsi="楷体_GB2312" w:eastAsia="楷体_GB2312"/>
              </w:rPr>
              <w:t>小组展示与评奖、颁奖</w:t>
            </w:r>
          </w:p>
        </w:tc>
      </w:tr>
    </w:tbl>
    <w:p>
      <w:pPr>
        <w:widowControl/>
        <w:spacing w:line="276" w:lineRule="auto"/>
        <w:jc w:val="left"/>
        <w:rPr>
          <w:rFonts w:ascii="楷体_GB2312" w:hAnsi="楷体_GB2312" w:eastAsia="楷体_GB2312"/>
          <w:sz w:val="21"/>
          <w:szCs w:val="21"/>
        </w:rPr>
      </w:pPr>
      <w:r>
        <w:rPr>
          <w:rFonts w:hint="eastAsia" w:ascii="楷体_GB2312" w:hAnsi="楷体_GB2312" w:eastAsia="楷体_GB2312"/>
          <w:sz w:val="21"/>
          <w:szCs w:val="21"/>
        </w:rPr>
        <w:t>*说明：此议程为初定议程，后期会根据情况等进行调整和细化。</w:t>
      </w:r>
    </w:p>
    <w:p>
      <w:pPr>
        <w:widowControl/>
        <w:spacing w:line="276" w:lineRule="auto"/>
        <w:ind w:firstLine="480" w:firstLineChars="200"/>
        <w:jc w:val="left"/>
        <w:rPr>
          <w:rFonts w:ascii="楷体_GB2312" w:hAnsi="楷体_GB2312" w:eastAsia="楷体_GB2312"/>
        </w:rPr>
      </w:pPr>
    </w:p>
    <w:p>
      <w:pPr>
        <w:widowControl/>
        <w:spacing w:line="276" w:lineRule="auto"/>
        <w:ind w:firstLine="480" w:firstLineChars="200"/>
        <w:jc w:val="left"/>
        <w:rPr>
          <w:rFonts w:ascii="楷体_GB2312" w:hAnsi="楷体_GB2312" w:eastAsia="楷体_GB2312"/>
        </w:rPr>
      </w:pPr>
    </w:p>
    <w:p>
      <w:pPr>
        <w:widowControl/>
        <w:spacing w:line="276" w:lineRule="auto"/>
        <w:ind w:firstLine="480" w:firstLineChars="200"/>
        <w:jc w:val="left"/>
        <w:rPr>
          <w:rFonts w:hint="eastAsia" w:ascii="楷体_GB2312" w:hAnsi="楷体_GB2312" w:eastAsia="楷体_GB2312"/>
        </w:rPr>
      </w:pPr>
      <w:r>
        <w:rPr>
          <w:rFonts w:hint="eastAsia" w:ascii="楷体_GB2312" w:hAnsi="楷体_GB2312" w:eastAsia="楷体_GB2312"/>
        </w:rPr>
        <w:t>本次论坛已邀请包括北京大学教育学院汪琼教授（北京大学数字化学习研究中心主任、中国电子学会现代教育技术分会主任委员）等高校专家和英特尔、</w:t>
      </w:r>
      <w:r>
        <w:rPr>
          <w:rFonts w:ascii="楷体_GB2312" w:hAnsi="楷体_GB2312" w:eastAsia="楷体_GB2312"/>
        </w:rPr>
        <w:t>IBM</w:t>
      </w:r>
      <w:r>
        <w:rPr>
          <w:rFonts w:hint="eastAsia" w:ascii="楷体_GB2312" w:hAnsi="楷体_GB2312" w:eastAsia="楷体_GB2312"/>
        </w:rPr>
        <w:t>、优必选、讯飞、商汤等知名企业人士，以及谢作如、吴俊杰等全国知名S</w:t>
      </w:r>
      <w:r>
        <w:rPr>
          <w:rFonts w:ascii="楷体_GB2312" w:hAnsi="楷体_GB2312" w:eastAsia="楷体_GB2312"/>
        </w:rPr>
        <w:t>TEAM</w:t>
      </w:r>
      <w:r>
        <w:rPr>
          <w:rFonts w:hint="eastAsia" w:ascii="楷体_GB2312" w:hAnsi="楷体_GB2312" w:eastAsia="楷体_GB2312"/>
        </w:rPr>
        <w:t>教师参与和提供支持，具体专家名单也会陆续发布。</w:t>
      </w:r>
    </w:p>
    <w:p>
      <w:pPr>
        <w:widowControl/>
        <w:spacing w:line="276" w:lineRule="auto"/>
        <w:ind w:firstLine="480" w:firstLineChars="200"/>
        <w:jc w:val="left"/>
        <w:rPr>
          <w:rFonts w:hint="eastAsia" w:ascii="楷体_GB2312" w:hAnsi="楷体_GB2312" w:eastAsia="楷体_GB2312"/>
          <w:lang w:val="en-US" w:eastAsia="zh-CN"/>
        </w:rPr>
      </w:pPr>
      <w:r>
        <w:rPr>
          <w:rFonts w:hint="eastAsia" w:ascii="楷体_GB2312" w:hAnsi="楷体_GB2312" w:eastAsia="楷体_GB2312"/>
          <w:lang w:val="en-US" w:eastAsia="zh-CN"/>
        </w:rPr>
        <w:t>请参会人员扫描下方二维码，加入中国电子学会现代教育技术分会。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76" w:lineRule="auto"/>
        <w:ind w:firstLine="0" w:firstLineChars="0"/>
        <w:jc w:val="center"/>
        <w:textAlignment w:val="auto"/>
        <w:rPr>
          <w:rFonts w:hint="eastAsia" w:ascii="楷体_GB2312" w:hAnsi="楷体_GB2312" w:eastAsia="楷体_GB2312"/>
          <w:lang w:val="en-US" w:eastAsia="zh-CN"/>
        </w:rPr>
      </w:pPr>
      <w:r>
        <w:rPr>
          <w:rFonts w:hint="eastAsia" w:ascii="楷体_GB2312" w:hAnsi="楷体_GB2312" w:eastAsia="楷体_GB2312"/>
          <w:lang w:val="en-US" w:eastAsia="zh-CN"/>
        </w:rPr>
        <w:drawing>
          <wp:inline distT="0" distB="0" distL="114300" distR="114300">
            <wp:extent cx="2438400" cy="2438400"/>
            <wp:effectExtent l="0" t="0" r="0" b="0"/>
            <wp:docPr id="1" name="图片 1" descr="4229fa8490ba394a0d2cfd27d0d3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229fa8490ba394a0d2cfd27d0d369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sectPr>
      <w:headerReference r:id="rId3" w:type="first"/>
      <w:footerReference r:id="rId6" w:type="first"/>
      <w:footerReference r:id="rId4" w:type="default"/>
      <w:footerReference r:id="rId5" w:type="even"/>
      <w:pgSz w:w="11906" w:h="16838"/>
      <w:pgMar w:top="1134" w:right="1134" w:bottom="1134" w:left="1134" w:header="851" w:footer="992" w:gutter="0"/>
      <w:pgNumType w:fmt="numberInDash" w:start="1"/>
      <w:cols w:space="720" w:num="1"/>
      <w:titlePg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97274686"/>
      <w:docPartObj>
        <w:docPartGallery w:val="autotext"/>
      </w:docPartObj>
    </w:sdtPr>
    <w:sdtEndPr>
      <w:rPr>
        <w:sz w:val="22"/>
      </w:rPr>
    </w:sdtEndPr>
    <w:sdtContent>
      <w:p>
        <w:pPr>
          <w:pStyle w:val="3"/>
          <w:jc w:val="center"/>
          <w:rPr>
            <w:sz w:val="22"/>
          </w:rPr>
        </w:pPr>
        <w:r>
          <w:rPr>
            <w:sz w:val="22"/>
          </w:rPr>
          <w:fldChar w:fldCharType="begin"/>
        </w:r>
        <w:r>
          <w:rPr>
            <w:sz w:val="22"/>
          </w:rPr>
          <w:instrText xml:space="preserve">PAGE   \* MERGEFORMAT</w:instrText>
        </w:r>
        <w:r>
          <w:rPr>
            <w:sz w:val="22"/>
          </w:rPr>
          <w:fldChar w:fldCharType="separate"/>
        </w:r>
        <w:r>
          <w:rPr>
            <w:sz w:val="22"/>
            <w:lang w:val="zh-CN"/>
          </w:rPr>
          <w:t>-</w:t>
        </w:r>
        <w:r>
          <w:rPr>
            <w:sz w:val="22"/>
          </w:rPr>
          <w:t xml:space="preserve"> 3 -</w:t>
        </w:r>
        <w:r>
          <w:rPr>
            <w:sz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2</w:t>
    </w:r>
    <w:r>
      <w:fldChar w:fldCharType="end"/>
    </w:r>
  </w:p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20608096"/>
      <w:docPartObj>
        <w:docPartGallery w:val="autotext"/>
      </w:docPartObj>
    </w:sdtPr>
    <w:sdtEndPr>
      <w:rPr>
        <w:sz w:val="22"/>
      </w:rPr>
    </w:sdtEndPr>
    <w:sdtContent>
      <w:p>
        <w:pPr>
          <w:pStyle w:val="3"/>
          <w:jc w:val="center"/>
          <w:rPr>
            <w:sz w:val="22"/>
          </w:rPr>
        </w:pPr>
        <w:r>
          <w:rPr>
            <w:sz w:val="22"/>
          </w:rPr>
          <w:fldChar w:fldCharType="begin"/>
        </w:r>
        <w:r>
          <w:rPr>
            <w:sz w:val="22"/>
          </w:rPr>
          <w:instrText xml:space="preserve">PAGE   \* MERGEFORMAT</w:instrText>
        </w:r>
        <w:r>
          <w:rPr>
            <w:sz w:val="22"/>
          </w:rPr>
          <w:fldChar w:fldCharType="separate"/>
        </w:r>
        <w:r>
          <w:rPr>
            <w:sz w:val="22"/>
            <w:lang w:val="zh-CN"/>
          </w:rPr>
          <w:t>-</w:t>
        </w:r>
        <w:r>
          <w:rPr>
            <w:sz w:val="22"/>
          </w:rPr>
          <w:t xml:space="preserve"> 1 -</w:t>
        </w:r>
        <w:r>
          <w:rPr>
            <w:sz w:val="22"/>
          </w:rPr>
          <w:fldChar w:fldCharType="end"/>
        </w:r>
      </w:p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bottom w:val="single" w:color="FF0000" w:sz="4" w:space="0"/>
      </w:pBdr>
      <w:jc w:val="distribute"/>
      <w:rPr>
        <w:rFonts w:ascii="华文中宋" w:hAnsi="华文中宋" w:eastAsia="华文中宋"/>
        <w:b/>
        <w:color w:val="FF0000"/>
        <w:sz w:val="56"/>
        <w:szCs w:val="56"/>
      </w:rPr>
    </w:pPr>
    <w:r>
      <w:rPr>
        <w:rFonts w:hint="eastAsia" w:ascii="华文中宋" w:hAnsi="华文中宋" w:eastAsia="华文中宋"/>
        <w:b/>
        <w:color w:val="FF0000"/>
        <w:sz w:val="56"/>
        <w:szCs w:val="56"/>
      </w:rPr>
      <w:t>中国电子学会现代教育技术分会</w:t>
    </w:r>
  </w:p>
  <w:p>
    <w:pPr>
      <w:pBdr>
        <w:bottom w:val="single" w:color="FF0000" w:sz="4" w:space="0"/>
      </w:pBdr>
      <w:jc w:val="right"/>
      <w:rPr>
        <w:rFonts w:ascii="宋体" w:hAnsi="宋体" w:eastAsia="宋体"/>
        <w:sz w:val="20"/>
        <w:szCs w:val="20"/>
      </w:rPr>
    </w:pPr>
    <w:r>
      <w:rPr>
        <w:rFonts w:hint="eastAsia" w:ascii="宋体" w:hAnsi="宋体" w:eastAsia="宋体"/>
        <w:sz w:val="20"/>
        <w:szCs w:val="20"/>
      </w:rPr>
      <w:t>中电现教〔2019〕1</w:t>
    </w:r>
    <w:r>
      <w:rPr>
        <w:rFonts w:ascii="宋体" w:hAnsi="宋体" w:eastAsia="宋体"/>
        <w:sz w:val="20"/>
        <w:szCs w:val="20"/>
      </w:rPr>
      <w:t>1</w:t>
    </w:r>
    <w:r>
      <w:rPr>
        <w:rFonts w:hint="eastAsia" w:ascii="宋体" w:hAnsi="宋体" w:eastAsia="宋体"/>
        <w:sz w:val="20"/>
        <w:szCs w:val="20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5E7805"/>
    <w:rsid w:val="4BB70D40"/>
    <w:rsid w:val="4DD445B1"/>
    <w:rsid w:val="565E7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楷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spacing w:line="360" w:lineRule="auto"/>
      <w:jc w:val="left"/>
      <w:outlineLvl w:val="0"/>
    </w:pPr>
    <w:rPr>
      <w:rFonts w:ascii="黑体" w:hAnsi="黑体" w:eastAsia="黑体"/>
      <w:sz w:val="28"/>
      <w:szCs w:val="28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2019-06-18T07:16:00Z</dcterms:created>
  <dc:creator>北音执念’Devil、</dc:creator>
  <cp:lastModifiedBy>北音执念’Devil、</cp:lastModifiedBy>
  <dcterms:modified xsi:type="dcterms:W3CDTF">2019-06-18T09:30:21Z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