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78" w:rsidRPr="00AF2448" w:rsidRDefault="00313878" w:rsidP="00313878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  <w:r w:rsidRPr="00AF2448">
        <w:rPr>
          <w:rFonts w:ascii="仿宋_GB2312" w:eastAsia="仿宋_GB2312" w:hAnsi="Microsoft Sans Serif" w:cs="Microsoft Sans Serif" w:hint="eastAsia"/>
          <w:b/>
          <w:color w:val="000000"/>
          <w:kern w:val="0"/>
          <w:sz w:val="32"/>
          <w:szCs w:val="28"/>
        </w:rPr>
        <w:t>附近2部分拟邀请单位</w:t>
      </w:r>
    </w:p>
    <w:p w:rsidR="00313878" w:rsidRDefault="00313878" w:rsidP="00313878">
      <w:pPr>
        <w:widowControl/>
        <w:jc w:val="left"/>
        <w:rPr>
          <w:rFonts w:ascii="Arial" w:eastAsia="微软雅黑" w:hAnsi="Arial" w:cs="Arial"/>
          <w:sz w:val="24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52"/>
      </w:tblGrid>
      <w:tr w:rsidR="00313878" w:rsidTr="002479E7">
        <w:trPr>
          <w:trHeight w:val="30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上海经信委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中金数据系统有限公司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美国驻上海总领事馆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联通云数据公司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国家发改委能源研究所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A153F2">
              <w:rPr>
                <w:rFonts w:ascii="Arial" w:eastAsia="微软雅黑" w:hAnsi="Arial" w:cs="Arial" w:hint="eastAsia"/>
                <w:sz w:val="24"/>
              </w:rPr>
              <w:t>中国人民银行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浪潮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中国农业银行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华为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中国工商银行信息科技部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</w:rPr>
              <w:t>曙光集团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地质矿产部北京计算中心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国家空调设备质量监督检验中心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上海数据港投资有限公司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中国建筑科学研究院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中兴通讯股份有限公司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/>
                <w:sz w:val="24"/>
              </w:rPr>
              <w:t>IBM</w:t>
            </w:r>
            <w:r>
              <w:rPr>
                <w:rFonts w:ascii="Arial" w:eastAsia="微软雅黑" w:hAnsi="Arial" w:cs="Arial" w:hint="eastAsia"/>
                <w:sz w:val="24"/>
              </w:rPr>
              <w:t>、</w:t>
            </w:r>
            <w:r>
              <w:rPr>
                <w:rFonts w:ascii="Arial" w:eastAsia="微软雅黑" w:hAnsi="Arial" w:cs="Arial"/>
                <w:sz w:val="24"/>
              </w:rPr>
              <w:t>ECP</w:t>
            </w:r>
            <w:r>
              <w:rPr>
                <w:rFonts w:ascii="Arial" w:eastAsia="微软雅黑" w:hAnsi="Arial" w:cs="Arial" w:hint="eastAsia"/>
                <w:sz w:val="24"/>
              </w:rPr>
              <w:t>，</w:t>
            </w:r>
            <w:r>
              <w:rPr>
                <w:rFonts w:ascii="Arial" w:eastAsia="微软雅黑" w:hAnsi="Arial" w:cs="Arial"/>
                <w:sz w:val="24"/>
              </w:rPr>
              <w:t xml:space="preserve"> ITIC</w:t>
            </w:r>
            <w:r>
              <w:rPr>
                <w:rFonts w:ascii="Arial" w:eastAsia="微软雅黑" w:hAnsi="Arial" w:cs="Arial" w:hint="eastAsia"/>
                <w:sz w:val="24"/>
              </w:rPr>
              <w:t>，</w:t>
            </w:r>
            <w:r>
              <w:rPr>
                <w:rFonts w:ascii="Arial" w:eastAsia="微软雅黑" w:hAnsi="Arial" w:cs="Arial"/>
                <w:sz w:val="24"/>
              </w:rPr>
              <w:t xml:space="preserve"> HP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东软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腾讯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中能深思（北京）节能技术有限公司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阿里巴巴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FC5FC5">
              <w:rPr>
                <w:rFonts w:ascii="Arial" w:eastAsia="微软雅黑" w:hAnsi="Arial" w:cs="Arial" w:hint="eastAsia"/>
                <w:sz w:val="24"/>
              </w:rPr>
              <w:t>中国电信集团系统集成有限责任公司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中国电信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深圳海联讯科技股份有限公司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中国电信北京研究院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联想集团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上海电器科学研究院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北京源深节能技术有限责任公司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世纪互联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C35395">
              <w:rPr>
                <w:rFonts w:ascii="Arial" w:eastAsia="微软雅黑" w:hAnsi="Arial" w:cs="Arial" w:hint="eastAsia"/>
                <w:sz w:val="24"/>
              </w:rPr>
              <w:t>北京德能恒信科技有限公司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中国移动南方基地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英特尔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美国劳伦斯伯克利国家实验室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7B6FB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戴尔（中国）有限公司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中国电子技术标准化研究院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7B6FB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天津排放权交易所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国电科学技术研究院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7B6FB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上海宝信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同方泰德建筑节能研究院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7B6FB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甲骨文中国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7B6FB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中国城市燃气协会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C35395">
              <w:rPr>
                <w:rFonts w:ascii="Arial" w:eastAsia="微软雅黑" w:hAnsi="Arial" w:cs="Arial" w:hint="eastAsia"/>
                <w:sz w:val="24"/>
              </w:rPr>
              <w:t>国富瑞数据系统有限公司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C066A4">
              <w:rPr>
                <w:rFonts w:ascii="Arial" w:eastAsia="微软雅黑" w:hAnsi="Arial" w:cs="Arial" w:hint="eastAsia"/>
                <w:sz w:val="24"/>
              </w:rPr>
              <w:t>南京江宁滨江开发区管委会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C3539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E37C45">
              <w:rPr>
                <w:rFonts w:ascii="Arial" w:eastAsia="微软雅黑" w:hAnsi="Arial" w:cs="Arial" w:hint="eastAsia"/>
                <w:sz w:val="24"/>
              </w:rPr>
              <w:t>华电福新能源股份有限公司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江苏省邮电规划设计院有限责任公司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E37C4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466921">
              <w:rPr>
                <w:rFonts w:ascii="Arial" w:eastAsia="微软雅黑" w:hAnsi="Arial" w:cs="Arial" w:hint="eastAsia"/>
                <w:sz w:val="24"/>
              </w:rPr>
              <w:t>特迈斯（浙江）冷热工程有限公司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广东省电信规划设计院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466921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466921">
              <w:rPr>
                <w:rFonts w:ascii="Arial" w:eastAsia="微软雅黑" w:hAnsi="Arial" w:cs="Arial" w:hint="eastAsia"/>
                <w:sz w:val="24"/>
              </w:rPr>
              <w:t>中广核节能产业发展有限公司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中国移动通信集团设计院有限公司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C3539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C35395">
              <w:rPr>
                <w:rFonts w:ascii="Arial" w:eastAsia="微软雅黑" w:hAnsi="Arial" w:cs="Arial" w:hint="eastAsia"/>
                <w:sz w:val="24"/>
              </w:rPr>
              <w:t>西电通用电气自动化有限公司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江苏省邮电规划设计院有限责任公司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C3539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中裕（河南）能源控股有限公司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中国化工集团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三菱商事（中国）商业有限公司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lastRenderedPageBreak/>
              <w:t>中国航空器材集团能源管理有限责任公司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94425C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开利公司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四川省天然气投资有限责任公司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上海数据港投资有限公司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开能建设有限公司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5560EF">
              <w:rPr>
                <w:rFonts w:ascii="Arial" w:eastAsia="微软雅黑" w:hAnsi="Arial" w:cs="Arial" w:hint="eastAsia"/>
                <w:sz w:val="24"/>
              </w:rPr>
              <w:t>傅跃财经信息咨询上海有限公司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无锡开普机械有限公司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5560EF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56D89">
              <w:rPr>
                <w:rFonts w:ascii="Arial" w:eastAsia="微软雅黑" w:hAnsi="Arial" w:cs="Arial" w:hint="eastAsia"/>
                <w:sz w:val="24"/>
              </w:rPr>
              <w:t>上海亚泽新型屋面系统股份有限公司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重庆磐达机械有限公司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56D89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FA5399">
              <w:rPr>
                <w:rFonts w:ascii="Arial" w:eastAsia="微软雅黑" w:hAnsi="Arial" w:cs="Arial" w:hint="eastAsia"/>
                <w:sz w:val="24"/>
              </w:rPr>
              <w:t>国电华东新能源投资有限公司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昆明阳关基业新能源发展有限公司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FA5399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064E97">
              <w:rPr>
                <w:rFonts w:ascii="Arial" w:eastAsia="微软雅黑" w:hAnsi="Arial" w:cs="Arial" w:hint="eastAsia"/>
                <w:sz w:val="24"/>
              </w:rPr>
              <w:t>上海泰捷通信技术有限公司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康达新能源设备股份有限公司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上海巴安水务股份有限公司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苏州慧和新能源有限公司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上海航天能源股份有限公司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潮州三环（集团）股份有限公司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上海天来投资管理有限公司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钰门国际贸易（上海）有限公司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5310E5">
              <w:rPr>
                <w:rFonts w:ascii="Arial" w:eastAsia="微软雅黑" w:hAnsi="Arial" w:cs="Arial" w:hint="eastAsia"/>
                <w:sz w:val="24"/>
              </w:rPr>
              <w:t>上海自仪泰雷兹交通自动化系统有限公司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上海两港投资管理有限公司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上海深诚能源技术有限公司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A0075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7A0075">
              <w:rPr>
                <w:rFonts w:ascii="Arial" w:eastAsia="微软雅黑" w:hAnsi="Arial" w:cs="Arial" w:hint="eastAsia"/>
                <w:sz w:val="24"/>
              </w:rPr>
              <w:t>上海中山医院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B90A52">
              <w:rPr>
                <w:rFonts w:ascii="Arial" w:eastAsia="微软雅黑" w:hAnsi="Arial" w:cs="Arial" w:hint="eastAsia"/>
                <w:sz w:val="24"/>
              </w:rPr>
              <w:t>斯必克（上海）流体技术有限公司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7E0693">
              <w:rPr>
                <w:rFonts w:ascii="Arial" w:eastAsia="微软雅黑" w:hAnsi="Arial" w:cs="Arial" w:hint="eastAsia"/>
                <w:sz w:val="24"/>
              </w:rPr>
              <w:t>上海广电通讯网络有限公司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美国新云公司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6705CD">
              <w:rPr>
                <w:rFonts w:ascii="Arial" w:eastAsia="微软雅黑" w:hAnsi="Arial" w:cs="Arial" w:hint="eastAsia"/>
                <w:sz w:val="24"/>
              </w:rPr>
              <w:t>上海市杨浦云计算创新基地发展有限公司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艾默生网络能源有限公司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FD5190">
              <w:rPr>
                <w:rFonts w:ascii="Arial" w:eastAsia="微软雅黑" w:hAnsi="Arial" w:cs="Arial" w:hint="eastAsia"/>
                <w:sz w:val="24"/>
              </w:rPr>
              <w:t>松下电器机电中国有限公司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联合技术公司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上海普天能源科技有限公司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康明斯公司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上海申嘉三和环保科技开发有限公司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卡特彼勒中国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霍尼韦尔亚太区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江森自控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上海天祥质量技术服务有限公司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</w:rPr>
            </w:pPr>
            <w:r>
              <w:rPr>
                <w:rFonts w:ascii="Arial" w:eastAsia="微软雅黑" w:hAnsi="Arial" w:cs="Arial" w:hint="eastAsia"/>
                <w:sz w:val="24"/>
              </w:rPr>
              <w:t>福星晓程</w:t>
            </w: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上海置信节能环保有限公司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78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思爱普北京软件系统有限公司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94425C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欧姆龙电子部品中国统辖集团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上海市电力公司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90A52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上海和辰信息技术有限公司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5560EF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  <w:tr w:rsidR="00313878" w:rsidTr="002479E7">
        <w:trPr>
          <w:trHeight w:val="12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7E0693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  <w:r w:rsidRPr="0094425C">
              <w:rPr>
                <w:rFonts w:ascii="Arial" w:eastAsia="微软雅黑" w:hAnsi="Arial" w:cs="Arial" w:hint="eastAsia"/>
                <w:sz w:val="24"/>
              </w:rPr>
              <w:t>浦东软件园汇智软件发展有限公司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78" w:rsidRPr="00B56D89" w:rsidRDefault="00313878" w:rsidP="002479E7">
            <w:pPr>
              <w:snapToGrid w:val="0"/>
              <w:spacing w:before="60"/>
              <w:rPr>
                <w:rFonts w:ascii="Arial" w:eastAsia="微软雅黑" w:hAnsi="Arial" w:cs="Arial"/>
                <w:sz w:val="24"/>
              </w:rPr>
            </w:pPr>
          </w:p>
        </w:tc>
      </w:tr>
    </w:tbl>
    <w:p w:rsidR="00313878" w:rsidRPr="006A10C6" w:rsidRDefault="00313878" w:rsidP="00313878"/>
    <w:p w:rsidR="0043476C" w:rsidRPr="00313878" w:rsidRDefault="00313878">
      <w:bookmarkStart w:id="0" w:name="_GoBack"/>
      <w:bookmarkEnd w:id="0"/>
    </w:p>
    <w:sectPr w:rsidR="0043476C" w:rsidRPr="0031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78"/>
    <w:rsid w:val="001C3D2E"/>
    <w:rsid w:val="00313878"/>
    <w:rsid w:val="0086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44F16-F369-4D3D-B4A2-C76FE4B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何京秋</dc:creator>
  <cp:keywords/>
  <dc:description/>
  <cp:lastModifiedBy>何京秋</cp:lastModifiedBy>
  <cp:revision>1</cp:revision>
  <dcterms:created xsi:type="dcterms:W3CDTF">2015-08-06T06:30:00Z</dcterms:created>
  <dcterms:modified xsi:type="dcterms:W3CDTF">2015-08-06T06:30:00Z</dcterms:modified>
</cp:coreProperties>
</file>